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E0E65F" w14:textId="77777777" w:rsidR="006957D7" w:rsidRDefault="006957D7">
      <w:pPr>
        <w:spacing w:after="0" w:line="240" w:lineRule="auto"/>
        <w:rPr>
          <w:rFonts w:ascii="Times New Roman" w:eastAsia="Times New Roman" w:hAnsi="Times New Roman" w:cs="Times New Roman"/>
          <w:sz w:val="24"/>
          <w:szCs w:val="24"/>
        </w:rPr>
      </w:pPr>
    </w:p>
    <w:tbl>
      <w:tblPr>
        <w:tblStyle w:val="a"/>
        <w:tblW w:w="9906" w:type="dxa"/>
        <w:tblLayout w:type="fixed"/>
        <w:tblLook w:val="0400" w:firstRow="0" w:lastRow="0" w:firstColumn="0" w:lastColumn="0" w:noHBand="0" w:noVBand="1"/>
      </w:tblPr>
      <w:tblGrid>
        <w:gridCol w:w="3695"/>
        <w:gridCol w:w="6211"/>
      </w:tblGrid>
      <w:tr w:rsidR="006957D7" w14:paraId="6ADF405F" w14:textId="77777777">
        <w:trPr>
          <w:trHeight w:val="2391"/>
        </w:trPr>
        <w:tc>
          <w:tcPr>
            <w:tcW w:w="3695" w:type="dxa"/>
            <w:tcBorders>
              <w:top w:val="single" w:sz="12" w:space="0" w:color="000000"/>
              <w:left w:val="single" w:sz="12" w:space="0" w:color="000000"/>
              <w:bottom w:val="single" w:sz="12" w:space="0" w:color="000000"/>
              <w:right w:val="single" w:sz="12" w:space="0" w:color="000000"/>
            </w:tcBorders>
            <w:tcMar>
              <w:top w:w="105" w:type="dxa"/>
              <w:left w:w="105" w:type="dxa"/>
              <w:bottom w:w="105" w:type="dxa"/>
              <w:right w:w="105" w:type="dxa"/>
            </w:tcMar>
          </w:tcPr>
          <w:p w14:paraId="67F2B7FB" w14:textId="77777777" w:rsidR="006957D7" w:rsidRDefault="002D2218">
            <w:pPr>
              <w:spacing w:after="0" w:line="240" w:lineRule="auto"/>
              <w:ind w:left="-115" w:right="-130"/>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2A4EA800" wp14:editId="268FCD89">
                  <wp:extent cx="1981809" cy="1905586"/>
                  <wp:effectExtent l="0" t="0" r="0" b="0"/>
                  <wp:docPr id="3" name="image1.jpg" descr="Logo for Texas Governor's Committee on People with Disabillities"/>
                  <wp:cNvGraphicFramePr/>
                  <a:graphic xmlns:a="http://schemas.openxmlformats.org/drawingml/2006/main">
                    <a:graphicData uri="http://schemas.openxmlformats.org/drawingml/2006/picture">
                      <pic:pic xmlns:pic="http://schemas.openxmlformats.org/drawingml/2006/picture">
                        <pic:nvPicPr>
                          <pic:cNvPr id="0" name="image1.jpg" descr="Logo for Texas Governor's Committee on People with Disabillities"/>
                          <pic:cNvPicPr preferRelativeResize="0"/>
                        </pic:nvPicPr>
                        <pic:blipFill>
                          <a:blip r:embed="rId8"/>
                          <a:srcRect/>
                          <a:stretch>
                            <a:fillRect/>
                          </a:stretch>
                        </pic:blipFill>
                        <pic:spPr>
                          <a:xfrm>
                            <a:off x="0" y="0"/>
                            <a:ext cx="1981809" cy="1905586"/>
                          </a:xfrm>
                          <a:prstGeom prst="rect">
                            <a:avLst/>
                          </a:prstGeom>
                          <a:ln/>
                        </pic:spPr>
                      </pic:pic>
                    </a:graphicData>
                  </a:graphic>
                </wp:inline>
              </w:drawing>
            </w:r>
          </w:p>
        </w:tc>
        <w:tc>
          <w:tcPr>
            <w:tcW w:w="6211" w:type="dxa"/>
            <w:tcBorders>
              <w:top w:val="single" w:sz="12" w:space="0" w:color="000000"/>
              <w:left w:val="single" w:sz="12" w:space="0" w:color="000000"/>
              <w:bottom w:val="single" w:sz="6" w:space="0" w:color="000000"/>
              <w:right w:val="single" w:sz="12" w:space="0" w:color="000000"/>
            </w:tcBorders>
            <w:tcMar>
              <w:top w:w="105" w:type="dxa"/>
              <w:left w:w="105" w:type="dxa"/>
              <w:bottom w:w="105" w:type="dxa"/>
              <w:right w:w="105" w:type="dxa"/>
            </w:tcMar>
          </w:tcPr>
          <w:p w14:paraId="6589008F" w14:textId="77777777" w:rsidR="006957D7" w:rsidRDefault="002D2218">
            <w:pPr>
              <w:spacing w:after="360" w:line="240" w:lineRule="auto"/>
              <w:ind w:left="216" w:right="101"/>
              <w:rPr>
                <w:rFonts w:ascii="Times New Roman" w:eastAsia="Times New Roman" w:hAnsi="Times New Roman" w:cs="Times New Roman"/>
                <w:b/>
                <w:color w:val="003399"/>
                <w:sz w:val="48"/>
                <w:szCs w:val="48"/>
              </w:rPr>
            </w:pPr>
            <w:r>
              <w:rPr>
                <w:rFonts w:ascii="Verdana" w:eastAsia="Verdana" w:hAnsi="Verdana" w:cs="Verdana"/>
                <w:b/>
                <w:color w:val="003399"/>
                <w:sz w:val="46"/>
                <w:szCs w:val="46"/>
              </w:rPr>
              <w:t>Governor’s Committee on People with Disabilities (GCPD)</w:t>
            </w:r>
          </w:p>
          <w:p w14:paraId="53E748C3" w14:textId="77777777" w:rsidR="006957D7" w:rsidRDefault="002D2218">
            <w:pPr>
              <w:spacing w:before="120" w:after="0" w:line="240" w:lineRule="auto"/>
              <w:ind w:left="237"/>
              <w:rPr>
                <w:rFonts w:ascii="Times New Roman" w:eastAsia="Times New Roman" w:hAnsi="Times New Roman" w:cs="Times New Roman"/>
                <w:b/>
                <w:sz w:val="32"/>
                <w:szCs w:val="32"/>
              </w:rPr>
            </w:pPr>
            <w:r>
              <w:rPr>
                <w:rFonts w:ascii="Verdana" w:eastAsia="Verdana" w:hAnsi="Verdana" w:cs="Verdana"/>
                <w:b/>
                <w:sz w:val="32"/>
                <w:szCs w:val="32"/>
              </w:rPr>
              <w:t>Policy Development Proposal</w:t>
            </w:r>
          </w:p>
        </w:tc>
      </w:tr>
      <w:tr w:rsidR="006957D7" w14:paraId="525B4D20" w14:textId="77777777">
        <w:trPr>
          <w:trHeight w:val="624"/>
        </w:trPr>
        <w:tc>
          <w:tcPr>
            <w:tcW w:w="9906" w:type="dxa"/>
            <w:gridSpan w:val="2"/>
            <w:tcBorders>
              <w:top w:val="single" w:sz="12" w:space="0" w:color="000000"/>
              <w:left w:val="single" w:sz="12" w:space="0" w:color="000000"/>
              <w:bottom w:val="single" w:sz="12" w:space="0" w:color="000000"/>
              <w:right w:val="single" w:sz="12" w:space="0" w:color="000000"/>
            </w:tcBorders>
            <w:tcMar>
              <w:top w:w="105" w:type="dxa"/>
              <w:left w:w="105" w:type="dxa"/>
              <w:bottom w:w="105" w:type="dxa"/>
              <w:right w:w="105" w:type="dxa"/>
            </w:tcMar>
          </w:tcPr>
          <w:p w14:paraId="11B56D0F" w14:textId="77777777" w:rsidR="006957D7" w:rsidRDefault="002D2218">
            <w:pPr>
              <w:spacing w:after="120" w:line="240" w:lineRule="auto"/>
              <w:rPr>
                <w:rFonts w:ascii="Verdana" w:eastAsia="Verdana" w:hAnsi="Verdana" w:cs="Verdana"/>
                <w:b/>
                <w:color w:val="000000"/>
                <w:sz w:val="24"/>
                <w:szCs w:val="24"/>
              </w:rPr>
            </w:pPr>
            <w:r>
              <w:rPr>
                <w:rFonts w:ascii="Verdana" w:eastAsia="Verdana" w:hAnsi="Verdana" w:cs="Verdana"/>
                <w:b/>
                <w:color w:val="000000"/>
                <w:sz w:val="24"/>
                <w:szCs w:val="24"/>
              </w:rPr>
              <w:t xml:space="preserve">Describe the proposed policy or legislative solution: </w:t>
            </w:r>
          </w:p>
          <w:p w14:paraId="78258554" w14:textId="77777777" w:rsidR="006957D7" w:rsidRDefault="002D2218">
            <w:pPr>
              <w:spacing w:after="120" w:line="240" w:lineRule="auto"/>
              <w:rPr>
                <w:rFonts w:ascii="Verdana" w:eastAsia="Verdana" w:hAnsi="Verdana" w:cs="Verdana"/>
                <w:color w:val="000000"/>
                <w:shd w:val="clear" w:color="auto" w:fill="E7E6E6"/>
              </w:rPr>
            </w:pPr>
            <w:r>
              <w:rPr>
                <w:rFonts w:ascii="Verdana" w:eastAsia="Verdana" w:hAnsi="Verdana" w:cs="Verdana"/>
                <w:color w:val="000000"/>
                <w:shd w:val="clear" w:color="auto" w:fill="E7E6E6"/>
              </w:rPr>
              <w:t xml:space="preserve">What are you proposing? Is there a need for a new program or changes to an existing one? </w:t>
            </w:r>
          </w:p>
          <w:p w14:paraId="5278E026" w14:textId="77777777" w:rsidR="006957D7" w:rsidRDefault="002D2218">
            <w:pPr>
              <w:numPr>
                <w:ilvl w:val="0"/>
                <w:numId w:val="2"/>
              </w:numPr>
              <w:spacing w:after="0" w:line="240" w:lineRule="auto"/>
              <w:rPr>
                <w:rFonts w:ascii="Verdana" w:eastAsia="Verdana" w:hAnsi="Verdana" w:cs="Verdana"/>
              </w:rPr>
            </w:pPr>
            <w:r>
              <w:rPr>
                <w:rFonts w:ascii="Verdana" w:eastAsia="Verdana" w:hAnsi="Verdana" w:cs="Verdana"/>
              </w:rPr>
              <w:t>We are proposing a targeted policy change to existing waiver programs to create an exemption or “carve-out” for individuals with Prader-Willi Syndrome (PWS) from IQ-based eligibility requirements.</w:t>
            </w:r>
          </w:p>
          <w:p w14:paraId="023BFCBB" w14:textId="77777777" w:rsidR="006957D7" w:rsidRDefault="002D2218">
            <w:pPr>
              <w:numPr>
                <w:ilvl w:val="0"/>
                <w:numId w:val="2"/>
              </w:numPr>
              <w:spacing w:after="120" w:line="240" w:lineRule="auto"/>
              <w:rPr>
                <w:rFonts w:ascii="Verdana" w:eastAsia="Verdana" w:hAnsi="Verdana" w:cs="Verdana"/>
              </w:rPr>
            </w:pPr>
            <w:r>
              <w:rPr>
                <w:rFonts w:ascii="Verdana" w:eastAsia="Verdana" w:hAnsi="Verdana" w:cs="Verdana"/>
              </w:rPr>
              <w:t>This needed change to an existing program would recognize that the unique and life-threatening challenges of PWS, particularly hyperphagia, demand constant supervision and care, regardless of an individual’s IQ.</w:t>
            </w:r>
          </w:p>
        </w:tc>
      </w:tr>
      <w:tr w:rsidR="006957D7" w14:paraId="12EAB5B1" w14:textId="77777777">
        <w:trPr>
          <w:trHeight w:val="340"/>
        </w:trPr>
        <w:tc>
          <w:tcPr>
            <w:tcW w:w="9906" w:type="dxa"/>
            <w:gridSpan w:val="2"/>
            <w:tcBorders>
              <w:top w:val="single" w:sz="12" w:space="0" w:color="000000"/>
              <w:left w:val="single" w:sz="12" w:space="0" w:color="000000"/>
              <w:bottom w:val="single" w:sz="12" w:space="0" w:color="000000"/>
              <w:right w:val="single" w:sz="12" w:space="0" w:color="000000"/>
            </w:tcBorders>
            <w:tcMar>
              <w:top w:w="105" w:type="dxa"/>
              <w:left w:w="105" w:type="dxa"/>
              <w:bottom w:w="105" w:type="dxa"/>
              <w:right w:w="105" w:type="dxa"/>
            </w:tcMar>
          </w:tcPr>
          <w:p w14:paraId="13AAB180" w14:textId="77777777" w:rsidR="006957D7" w:rsidRDefault="002D2218">
            <w:pPr>
              <w:spacing w:after="120" w:line="240" w:lineRule="auto"/>
              <w:rPr>
                <w:rFonts w:ascii="Verdana" w:eastAsia="Verdana" w:hAnsi="Verdana" w:cs="Verdana"/>
                <w:b/>
                <w:color w:val="000000"/>
                <w:sz w:val="24"/>
                <w:szCs w:val="24"/>
              </w:rPr>
            </w:pPr>
            <w:r>
              <w:rPr>
                <w:rFonts w:ascii="Verdana" w:eastAsia="Verdana" w:hAnsi="Verdana" w:cs="Verdana"/>
                <w:b/>
                <w:color w:val="000000"/>
                <w:sz w:val="24"/>
                <w:szCs w:val="24"/>
              </w:rPr>
              <w:t xml:space="preserve">Issue Description: </w:t>
            </w:r>
          </w:p>
          <w:p w14:paraId="1668430F" w14:textId="77777777" w:rsidR="006957D7" w:rsidRDefault="002D2218">
            <w:pPr>
              <w:spacing w:after="120" w:line="240" w:lineRule="auto"/>
              <w:rPr>
                <w:rFonts w:ascii="Verdana" w:eastAsia="Verdana" w:hAnsi="Verdana" w:cs="Verdana"/>
                <w:shd w:val="clear" w:color="auto" w:fill="E7E6E6"/>
              </w:rPr>
            </w:pPr>
            <w:r>
              <w:rPr>
                <w:rFonts w:ascii="Verdana" w:eastAsia="Verdana" w:hAnsi="Verdana" w:cs="Verdana"/>
                <w:shd w:val="clear" w:color="auto" w:fill="E7E6E6"/>
              </w:rPr>
              <w:t>Why are you proposing this? What problem does this proposal solve?</w:t>
            </w:r>
          </w:p>
          <w:p w14:paraId="38E15BD5" w14:textId="77777777" w:rsidR="006957D7" w:rsidRDefault="002D2218">
            <w:pPr>
              <w:numPr>
                <w:ilvl w:val="0"/>
                <w:numId w:val="9"/>
              </w:numPr>
              <w:spacing w:after="0" w:line="240" w:lineRule="auto"/>
              <w:rPr>
                <w:rFonts w:ascii="Verdana" w:eastAsia="Verdana" w:hAnsi="Verdana" w:cs="Verdana"/>
              </w:rPr>
            </w:pPr>
            <w:r>
              <w:rPr>
                <w:rFonts w:ascii="Verdana" w:eastAsia="Verdana" w:hAnsi="Verdana" w:cs="Verdana"/>
              </w:rPr>
              <w:t>Prader-Willi syndrome (PWS) is not just a rare disease—it is a life-threatening condition with devastating implications. PWS is a neurobehavioral, metabolic, and endocrine disorder characterized by insatiable hunger (hyperphagia) and profound neurocognitive and behavioral challenges. The hyperphagia experienced by individuals with PWS is not merely excessive appetite; it is a relentless, debilitating drive that can lead to life-threatening outcomes. Without constant supervision and strict intervention, indi</w:t>
            </w:r>
            <w:r>
              <w:rPr>
                <w:rFonts w:ascii="Verdana" w:eastAsia="Verdana" w:hAnsi="Verdana" w:cs="Verdana"/>
              </w:rPr>
              <w:t>viduals with PWS can and have literally eaten themselves to death.</w:t>
            </w:r>
          </w:p>
          <w:p w14:paraId="388CDBDD" w14:textId="77777777" w:rsidR="006957D7" w:rsidRDefault="002D2218">
            <w:pPr>
              <w:numPr>
                <w:ilvl w:val="0"/>
                <w:numId w:val="9"/>
              </w:numPr>
              <w:spacing w:after="0" w:line="240" w:lineRule="auto"/>
              <w:rPr>
                <w:rFonts w:ascii="Verdana" w:eastAsia="Verdana" w:hAnsi="Verdana" w:cs="Verdana"/>
              </w:rPr>
            </w:pPr>
            <w:r>
              <w:rPr>
                <w:rFonts w:ascii="Verdana" w:eastAsia="Verdana" w:hAnsi="Verdana" w:cs="Verdana"/>
              </w:rPr>
              <w:t>What makes this condition even more dangerous is that the cognitive abilities of individuals with PWS, particularly those with higher IQs, often enable them to problem-solve and find ways to obtain food despite rigorous safeguards. This can result in catastrophic consequences, as food can become deadly for them. Higher cognitive functioning individuals living with PWS, which might otherwise be considered an asset, ironically heightens the risk of death, as it increases the likelihood of food-seeking behavio</w:t>
            </w:r>
            <w:r>
              <w:rPr>
                <w:rFonts w:ascii="Verdana" w:eastAsia="Verdana" w:hAnsi="Verdana" w:cs="Verdana"/>
              </w:rPr>
              <w:t>rs being successful and undetected until it's too late.</w:t>
            </w:r>
          </w:p>
          <w:p w14:paraId="0EDB6CD4" w14:textId="77777777" w:rsidR="006957D7" w:rsidRDefault="002D2218">
            <w:pPr>
              <w:numPr>
                <w:ilvl w:val="0"/>
                <w:numId w:val="9"/>
              </w:numPr>
              <w:shd w:val="clear" w:color="auto" w:fill="FFFFFF"/>
              <w:spacing w:after="0" w:line="240" w:lineRule="auto"/>
              <w:rPr>
                <w:rFonts w:ascii="Arial" w:eastAsia="Arial" w:hAnsi="Arial" w:cs="Arial"/>
                <w:color w:val="222222"/>
              </w:rPr>
            </w:pPr>
            <w:r>
              <w:rPr>
                <w:rFonts w:ascii="Verdana" w:eastAsia="Verdana" w:hAnsi="Verdana" w:cs="Verdana"/>
                <w:color w:val="222222"/>
              </w:rPr>
              <w:t xml:space="preserve">The current system's reliance on IQ requirements for waiver programs fails to capture the severity and unique challenges posed by PWS. While PWS is included in the list of </w:t>
            </w:r>
            <w:hyperlink r:id="rId9">
              <w:r>
                <w:rPr>
                  <w:rFonts w:ascii="Verdana" w:eastAsia="Verdana" w:hAnsi="Verdana" w:cs="Verdana"/>
                  <w:color w:val="1155CC"/>
                  <w:u w:val="single"/>
                </w:rPr>
                <w:t>Texas Approved Diagnostic Codes for Persons with Related Conditions</w:t>
              </w:r>
            </w:hyperlink>
            <w:r>
              <w:rPr>
                <w:rFonts w:ascii="Verdana" w:eastAsia="Verdana" w:hAnsi="Verdana" w:cs="Verdana"/>
                <w:color w:val="222222"/>
              </w:rPr>
              <w:t xml:space="preserve">, which extends the IQ threshold from 70 to 75 for related conditions, this still excludes many individuals with PWS who may not meet these arbitrary requirements but face equally, if not more, severe risks and needs. As noted on page 8 of the attached report “Serving the Needs of Individuals with Prader-Willi </w:t>
            </w:r>
            <w:r>
              <w:rPr>
                <w:rFonts w:ascii="Verdana" w:eastAsia="Verdana" w:hAnsi="Verdana" w:cs="Verdana"/>
                <w:color w:val="222222"/>
              </w:rPr>
              <w:lastRenderedPageBreak/>
              <w:t xml:space="preserve">Syndrome” published by the Texas Department of Aging and Disability Services in 2014, “For individuals with PWS, </w:t>
            </w:r>
            <w:r>
              <w:rPr>
                <w:rFonts w:ascii="Verdana" w:eastAsia="Verdana" w:hAnsi="Verdana" w:cs="Verdana"/>
                <w:b/>
                <w:color w:val="222222"/>
              </w:rPr>
              <w:t>higher functioning often means greater ability to seek food</w:t>
            </w:r>
            <w:r>
              <w:rPr>
                <w:rFonts w:ascii="Verdana" w:eastAsia="Verdana" w:hAnsi="Verdana" w:cs="Verdana"/>
                <w:color w:val="222222"/>
              </w:rPr>
              <w:t>”.</w:t>
            </w:r>
            <w:r>
              <w:rPr>
                <w:rFonts w:ascii="Verdana" w:eastAsia="Verdana" w:hAnsi="Verdana" w:cs="Verdana"/>
                <w:b/>
                <w:color w:val="222222"/>
              </w:rPr>
              <w:t xml:space="preserve"> </w:t>
            </w:r>
            <w:r>
              <w:rPr>
                <w:rFonts w:ascii="Verdana" w:eastAsia="Verdana" w:hAnsi="Verdana" w:cs="Verdana"/>
                <w:color w:val="222222"/>
              </w:rPr>
              <w:t>PWS is a spectrum disorde</w:t>
            </w:r>
            <w:r>
              <w:rPr>
                <w:rFonts w:ascii="Verdana" w:eastAsia="Verdana" w:hAnsi="Verdana" w:cs="Verdana"/>
                <w:color w:val="222222"/>
              </w:rPr>
              <w:t>r, meaning that intelligence levels vary widely among individuals. Those with higher IQs are not less affected by the syndrome’s core challenges; in fact, they may be at greater risk due to their ability to circumvent food restrictions and safety measures.</w:t>
            </w:r>
          </w:p>
        </w:tc>
      </w:tr>
      <w:tr w:rsidR="006957D7" w14:paraId="095DD179" w14:textId="77777777">
        <w:trPr>
          <w:trHeight w:val="340"/>
        </w:trPr>
        <w:tc>
          <w:tcPr>
            <w:tcW w:w="9906" w:type="dxa"/>
            <w:gridSpan w:val="2"/>
            <w:tcBorders>
              <w:top w:val="single" w:sz="12" w:space="0" w:color="000000"/>
              <w:left w:val="single" w:sz="12" w:space="0" w:color="000000"/>
              <w:bottom w:val="single" w:sz="12" w:space="0" w:color="000000"/>
              <w:right w:val="single" w:sz="12" w:space="0" w:color="000000"/>
            </w:tcBorders>
            <w:tcMar>
              <w:top w:w="105" w:type="dxa"/>
              <w:left w:w="105" w:type="dxa"/>
              <w:bottom w:w="105" w:type="dxa"/>
              <w:right w:w="105" w:type="dxa"/>
            </w:tcMar>
          </w:tcPr>
          <w:p w14:paraId="51491560" w14:textId="77777777" w:rsidR="006957D7" w:rsidRDefault="002D2218">
            <w:pPr>
              <w:spacing w:after="120" w:line="240" w:lineRule="auto"/>
              <w:rPr>
                <w:rFonts w:ascii="Verdana" w:eastAsia="Verdana" w:hAnsi="Verdana" w:cs="Verdana"/>
                <w:b/>
                <w:color w:val="000000"/>
                <w:sz w:val="24"/>
                <w:szCs w:val="24"/>
              </w:rPr>
            </w:pPr>
            <w:r>
              <w:rPr>
                <w:rFonts w:ascii="Verdana" w:eastAsia="Verdana" w:hAnsi="Verdana" w:cs="Verdana"/>
                <w:b/>
                <w:color w:val="000000"/>
                <w:sz w:val="24"/>
                <w:szCs w:val="24"/>
              </w:rPr>
              <w:lastRenderedPageBreak/>
              <w:t>Explain how this is a common/frequent issue:</w:t>
            </w:r>
          </w:p>
          <w:p w14:paraId="7BC5E80D" w14:textId="77777777" w:rsidR="006957D7" w:rsidRDefault="002D2218">
            <w:pPr>
              <w:spacing w:after="120" w:line="240" w:lineRule="auto"/>
              <w:rPr>
                <w:rFonts w:ascii="Verdana" w:eastAsia="Verdana" w:hAnsi="Verdana" w:cs="Verdana"/>
                <w:shd w:val="clear" w:color="auto" w:fill="E7E6E6"/>
              </w:rPr>
            </w:pPr>
            <w:r>
              <w:rPr>
                <w:rFonts w:ascii="Verdana" w:eastAsia="Verdana" w:hAnsi="Verdana" w:cs="Verdana"/>
                <w:shd w:val="clear" w:color="auto" w:fill="E7E6E6"/>
              </w:rPr>
              <w:t>Is it a one-off problem or something systemic? If known, provide evidence.</w:t>
            </w:r>
          </w:p>
          <w:p w14:paraId="7264354D" w14:textId="77777777" w:rsidR="006957D7" w:rsidRDefault="002D2218">
            <w:pPr>
              <w:numPr>
                <w:ilvl w:val="0"/>
                <w:numId w:val="10"/>
              </w:numPr>
              <w:spacing w:after="120" w:line="240" w:lineRule="auto"/>
              <w:rPr>
                <w:rFonts w:ascii="Verdana" w:eastAsia="Verdana" w:hAnsi="Verdana" w:cs="Verdana"/>
              </w:rPr>
            </w:pPr>
            <w:r>
              <w:rPr>
                <w:rFonts w:ascii="Verdana" w:eastAsia="Verdana" w:hAnsi="Verdana" w:cs="Verdana"/>
              </w:rPr>
              <w:t>PWS affects roughly 1 in 15,000 live births, meaning an estimated 10,000 to 20,000 individuals in the United States and an estimated 2,000 to 3,500 in Texas are living with this condition. For every individual diagnosed with PWS, hyperphagia is a daily and lifelong challenge. Tragically, even with vigilant management, the risk of catastrophic outcomes remains high.</w:t>
            </w:r>
          </w:p>
        </w:tc>
      </w:tr>
      <w:tr w:rsidR="006957D7" w14:paraId="056E74E7" w14:textId="77777777">
        <w:trPr>
          <w:trHeight w:val="1098"/>
        </w:trPr>
        <w:tc>
          <w:tcPr>
            <w:tcW w:w="9906" w:type="dxa"/>
            <w:gridSpan w:val="2"/>
            <w:tcBorders>
              <w:top w:val="single" w:sz="12" w:space="0" w:color="000000"/>
              <w:left w:val="single" w:sz="12" w:space="0" w:color="000000"/>
              <w:bottom w:val="single" w:sz="12" w:space="0" w:color="000000"/>
              <w:right w:val="single" w:sz="12" w:space="0" w:color="000000"/>
            </w:tcBorders>
            <w:tcMar>
              <w:top w:w="105" w:type="dxa"/>
              <w:left w:w="105" w:type="dxa"/>
              <w:bottom w:w="105" w:type="dxa"/>
              <w:right w:w="105" w:type="dxa"/>
            </w:tcMar>
          </w:tcPr>
          <w:p w14:paraId="6F39C43A" w14:textId="77777777" w:rsidR="006957D7" w:rsidRDefault="002D2218">
            <w:pPr>
              <w:spacing w:after="120" w:line="240" w:lineRule="auto"/>
              <w:rPr>
                <w:rFonts w:ascii="Verdana" w:eastAsia="Verdana" w:hAnsi="Verdana" w:cs="Verdana"/>
                <w:b/>
                <w:color w:val="000000"/>
                <w:sz w:val="24"/>
                <w:szCs w:val="24"/>
              </w:rPr>
            </w:pPr>
            <w:r>
              <w:rPr>
                <w:rFonts w:ascii="Verdana" w:eastAsia="Verdana" w:hAnsi="Verdana" w:cs="Verdana"/>
                <w:b/>
                <w:color w:val="000000"/>
                <w:sz w:val="24"/>
                <w:szCs w:val="24"/>
              </w:rPr>
              <w:t>Legislative History:</w:t>
            </w:r>
          </w:p>
          <w:p w14:paraId="1629EAE5" w14:textId="77777777" w:rsidR="006957D7" w:rsidRDefault="002D2218">
            <w:pPr>
              <w:spacing w:after="120" w:line="240" w:lineRule="auto"/>
              <w:rPr>
                <w:rFonts w:ascii="Verdana" w:eastAsia="Verdana" w:hAnsi="Verdana" w:cs="Verdana"/>
                <w:color w:val="000000"/>
                <w:shd w:val="clear" w:color="auto" w:fill="E7E6E6"/>
              </w:rPr>
            </w:pPr>
            <w:r>
              <w:rPr>
                <w:rFonts w:ascii="Verdana" w:eastAsia="Verdana" w:hAnsi="Verdana" w:cs="Verdana"/>
                <w:color w:val="000000"/>
                <w:shd w:val="clear" w:color="auto" w:fill="E7E6E6"/>
              </w:rPr>
              <w:t>Were similar bills filed in the past- either in Texas or in other states? What prevented its success? Link to that legislation if possible.</w:t>
            </w:r>
          </w:p>
          <w:p w14:paraId="6125168D" w14:textId="77777777" w:rsidR="006957D7" w:rsidRDefault="002D2218">
            <w:pPr>
              <w:numPr>
                <w:ilvl w:val="0"/>
                <w:numId w:val="5"/>
              </w:numPr>
              <w:shd w:val="clear" w:color="auto" w:fill="FFFFFF"/>
              <w:spacing w:after="0" w:line="240" w:lineRule="auto"/>
              <w:rPr>
                <w:rFonts w:ascii="Verdana" w:eastAsia="Verdana" w:hAnsi="Verdana" w:cs="Verdana"/>
              </w:rPr>
            </w:pPr>
            <w:r>
              <w:rPr>
                <w:rFonts w:ascii="Verdana" w:eastAsia="Verdana" w:hAnsi="Verdana" w:cs="Verdana"/>
              </w:rPr>
              <w:t>As far as we are aware, Texas has never filed legislation to “carve-out” PWS from IQ requirements to qualify for waiver programs.</w:t>
            </w:r>
          </w:p>
          <w:p w14:paraId="66DF0460" w14:textId="77777777" w:rsidR="006957D7" w:rsidRDefault="002D2218">
            <w:pPr>
              <w:numPr>
                <w:ilvl w:val="0"/>
                <w:numId w:val="5"/>
              </w:numPr>
              <w:shd w:val="clear" w:color="auto" w:fill="FFFFFF"/>
              <w:spacing w:after="0" w:line="240" w:lineRule="auto"/>
              <w:rPr>
                <w:b/>
              </w:rPr>
            </w:pPr>
            <w:r>
              <w:rPr>
                <w:rFonts w:ascii="Verdana" w:eastAsia="Verdana" w:hAnsi="Verdana" w:cs="Verdana"/>
              </w:rPr>
              <w:t xml:space="preserve">In the 83rd Legislature in 2013, Texas lawmakers passed </w:t>
            </w:r>
            <w:hyperlink r:id="rId10">
              <w:r>
                <w:rPr>
                  <w:rFonts w:ascii="Verdana" w:eastAsia="Verdana" w:hAnsi="Verdana" w:cs="Verdana"/>
                  <w:color w:val="1155CC"/>
                  <w:u w:val="single"/>
                </w:rPr>
                <w:t>Senate Bill 7</w:t>
              </w:r>
            </w:hyperlink>
            <w:r>
              <w:rPr>
                <w:rFonts w:ascii="Verdana" w:eastAsia="Verdana" w:hAnsi="Verdana" w:cs="Verdana"/>
              </w:rPr>
              <w:t>, which included a requirement for HHSC to conduct a study to identify the unique needs of individuals with PWS and the programs available to them.</w:t>
            </w:r>
            <w:r>
              <w:rPr>
                <w:rFonts w:ascii="Verdana" w:eastAsia="Verdana" w:hAnsi="Verdana" w:cs="Verdana"/>
                <w:b/>
                <w:i/>
              </w:rPr>
              <w:t xml:space="preserve"> </w:t>
            </w:r>
            <w:r>
              <w:rPr>
                <w:rFonts w:ascii="Verdana" w:eastAsia="Verdana" w:hAnsi="Verdana" w:cs="Verdana"/>
              </w:rPr>
              <w:t>The study, which HHSC completed in 2014, is attached to this email.</w:t>
            </w:r>
          </w:p>
          <w:p w14:paraId="14B7B8F6" w14:textId="77777777" w:rsidR="006957D7" w:rsidRDefault="002D2218">
            <w:pPr>
              <w:numPr>
                <w:ilvl w:val="0"/>
                <w:numId w:val="5"/>
              </w:numPr>
              <w:shd w:val="clear" w:color="auto" w:fill="FFFFFF"/>
              <w:spacing w:after="0" w:line="240" w:lineRule="auto"/>
              <w:rPr>
                <w:rFonts w:ascii="Verdana" w:eastAsia="Verdana" w:hAnsi="Verdana" w:cs="Verdana"/>
              </w:rPr>
            </w:pPr>
            <w:r>
              <w:rPr>
                <w:rFonts w:ascii="Verdana" w:eastAsia="Verdana" w:hAnsi="Verdana" w:cs="Verdana"/>
              </w:rPr>
              <w:t>Many states have taken steps to facilitate eligibility for intellectual/developmental disability services for individuals with PWS. See below links:</w:t>
            </w:r>
          </w:p>
          <w:p w14:paraId="673F5FED" w14:textId="77777777" w:rsidR="006957D7" w:rsidRDefault="002D2218">
            <w:pPr>
              <w:numPr>
                <w:ilvl w:val="1"/>
                <w:numId w:val="5"/>
              </w:numPr>
              <w:spacing w:after="0" w:line="240" w:lineRule="auto"/>
              <w:rPr>
                <w:rFonts w:ascii="Verdana" w:eastAsia="Verdana" w:hAnsi="Verdana" w:cs="Verdana"/>
                <w:b/>
              </w:rPr>
            </w:pPr>
            <w:r>
              <w:rPr>
                <w:rFonts w:ascii="Verdana" w:eastAsia="Verdana" w:hAnsi="Verdana" w:cs="Verdana"/>
                <w:b/>
                <w:u w:val="single"/>
              </w:rPr>
              <w:t xml:space="preserve">Florida </w:t>
            </w:r>
          </w:p>
          <w:p w14:paraId="054FE789" w14:textId="77777777" w:rsidR="006957D7" w:rsidRDefault="002D2218">
            <w:pPr>
              <w:numPr>
                <w:ilvl w:val="2"/>
                <w:numId w:val="5"/>
              </w:numPr>
              <w:shd w:val="clear" w:color="auto" w:fill="FFFFFF"/>
              <w:spacing w:after="0" w:line="240" w:lineRule="auto"/>
              <w:rPr>
                <w:rFonts w:ascii="Verdana" w:eastAsia="Verdana" w:hAnsi="Verdana" w:cs="Verdana"/>
              </w:rPr>
            </w:pPr>
            <w:r>
              <w:rPr>
                <w:rFonts w:ascii="Verdana" w:eastAsia="Verdana" w:hAnsi="Verdana" w:cs="Verdana"/>
              </w:rPr>
              <w:t>Statute: 2024 Florida Statutes, Title XXIX, Public Health</w:t>
            </w:r>
          </w:p>
          <w:p w14:paraId="65721D7A" w14:textId="77777777" w:rsidR="006957D7" w:rsidRDefault="002D2218">
            <w:pPr>
              <w:numPr>
                <w:ilvl w:val="2"/>
                <w:numId w:val="5"/>
              </w:numPr>
              <w:shd w:val="clear" w:color="auto" w:fill="FFFFFF"/>
              <w:spacing w:after="0" w:line="240" w:lineRule="auto"/>
              <w:rPr>
                <w:rFonts w:ascii="Verdana" w:eastAsia="Verdana" w:hAnsi="Verdana" w:cs="Verdana"/>
              </w:rPr>
            </w:pPr>
            <w:r>
              <w:rPr>
                <w:rFonts w:ascii="Verdana" w:eastAsia="Verdana" w:hAnsi="Verdana" w:cs="Verdana"/>
              </w:rPr>
              <w:t xml:space="preserve">See </w:t>
            </w:r>
            <w:hyperlink r:id="rId11">
              <w:r>
                <w:rPr>
                  <w:rFonts w:ascii="Verdana" w:eastAsia="Verdana" w:hAnsi="Verdana" w:cs="Verdana"/>
                  <w:color w:val="1155CC"/>
                  <w:u w:val="single"/>
                </w:rPr>
                <w:t>Chapter 393</w:t>
              </w:r>
            </w:hyperlink>
            <w:r>
              <w:rPr>
                <w:rFonts w:ascii="Verdana" w:eastAsia="Verdana" w:hAnsi="Verdana" w:cs="Verdana"/>
              </w:rPr>
              <w:t>, Developmental Disabilities - Sections 11 and 29</w:t>
            </w:r>
          </w:p>
          <w:p w14:paraId="65E1BFB0" w14:textId="77777777" w:rsidR="006957D7" w:rsidRDefault="002D2218">
            <w:pPr>
              <w:numPr>
                <w:ilvl w:val="1"/>
                <w:numId w:val="5"/>
              </w:numPr>
              <w:spacing w:after="0" w:line="240" w:lineRule="auto"/>
              <w:rPr>
                <w:rFonts w:ascii="Verdana" w:eastAsia="Verdana" w:hAnsi="Verdana" w:cs="Verdana"/>
                <w:b/>
              </w:rPr>
            </w:pPr>
            <w:r>
              <w:rPr>
                <w:rFonts w:ascii="Verdana" w:eastAsia="Verdana" w:hAnsi="Verdana" w:cs="Verdana"/>
                <w:b/>
                <w:u w:val="single"/>
              </w:rPr>
              <w:t>New York</w:t>
            </w:r>
          </w:p>
          <w:p w14:paraId="2083B222" w14:textId="77777777" w:rsidR="006957D7" w:rsidRDefault="002D2218">
            <w:pPr>
              <w:widowControl w:val="0"/>
              <w:numPr>
                <w:ilvl w:val="2"/>
                <w:numId w:val="5"/>
              </w:numPr>
              <w:spacing w:after="0" w:line="243" w:lineRule="auto"/>
              <w:ind w:right="206"/>
              <w:rPr>
                <w:rFonts w:ascii="Verdana" w:eastAsia="Verdana" w:hAnsi="Verdana" w:cs="Verdana"/>
              </w:rPr>
            </w:pPr>
            <w:r>
              <w:rPr>
                <w:rFonts w:ascii="Verdana" w:eastAsia="Verdana" w:hAnsi="Verdana" w:cs="Verdana"/>
              </w:rPr>
              <w:t xml:space="preserve">Bill Number: </w:t>
            </w:r>
            <w:hyperlink r:id="rId12">
              <w:r>
                <w:rPr>
                  <w:rFonts w:ascii="Verdana" w:eastAsia="Verdana" w:hAnsi="Verdana" w:cs="Verdana"/>
                  <w:color w:val="1155CC"/>
                  <w:u w:val="single"/>
                </w:rPr>
                <w:t>S1219</w:t>
              </w:r>
            </w:hyperlink>
          </w:p>
          <w:p w14:paraId="77558B1B" w14:textId="77777777" w:rsidR="006957D7" w:rsidRDefault="002D2218">
            <w:pPr>
              <w:widowControl w:val="0"/>
              <w:numPr>
                <w:ilvl w:val="2"/>
                <w:numId w:val="5"/>
              </w:numPr>
              <w:spacing w:after="0" w:line="243" w:lineRule="auto"/>
              <w:ind w:right="206"/>
              <w:rPr>
                <w:rFonts w:ascii="Verdana" w:eastAsia="Verdana" w:hAnsi="Verdana" w:cs="Verdana"/>
              </w:rPr>
            </w:pPr>
            <w:hyperlink r:id="rId13">
              <w:r>
                <w:rPr>
                  <w:rFonts w:ascii="Verdana" w:eastAsia="Verdana" w:hAnsi="Verdana" w:cs="Verdana"/>
                  <w:color w:val="1155CC"/>
                  <w:u w:val="single"/>
                </w:rPr>
                <w:t>Memorandum in Support</w:t>
              </w:r>
            </w:hyperlink>
            <w:r>
              <w:rPr>
                <w:rFonts w:ascii="Verdana" w:eastAsia="Verdana" w:hAnsi="Verdana" w:cs="Verdana"/>
              </w:rPr>
              <w:t xml:space="preserve"> from Prader-Willi Alliance of New York</w:t>
            </w:r>
          </w:p>
          <w:p w14:paraId="27C672F6" w14:textId="77777777" w:rsidR="006957D7" w:rsidRDefault="002D2218">
            <w:pPr>
              <w:widowControl w:val="0"/>
              <w:numPr>
                <w:ilvl w:val="2"/>
                <w:numId w:val="5"/>
              </w:numPr>
              <w:spacing w:after="0" w:line="243" w:lineRule="auto"/>
              <w:ind w:right="206"/>
              <w:rPr>
                <w:rFonts w:ascii="Verdana" w:eastAsia="Verdana" w:hAnsi="Verdana" w:cs="Verdana"/>
              </w:rPr>
            </w:pPr>
            <w:r>
              <w:rPr>
                <w:rFonts w:ascii="Verdana" w:eastAsia="Verdana" w:hAnsi="Verdana" w:cs="Verdana"/>
              </w:rPr>
              <w:t>Session: 2017-2018 Legislative Session</w:t>
            </w:r>
          </w:p>
          <w:p w14:paraId="03350D6E" w14:textId="77777777" w:rsidR="006957D7" w:rsidRDefault="002D2218">
            <w:pPr>
              <w:widowControl w:val="0"/>
              <w:numPr>
                <w:ilvl w:val="2"/>
                <w:numId w:val="5"/>
              </w:numPr>
              <w:spacing w:after="0" w:line="243" w:lineRule="auto"/>
              <w:ind w:right="206"/>
              <w:rPr>
                <w:rFonts w:ascii="Verdana" w:eastAsia="Verdana" w:hAnsi="Verdana" w:cs="Verdana"/>
              </w:rPr>
            </w:pPr>
            <w:r>
              <w:rPr>
                <w:rFonts w:ascii="Verdana" w:eastAsia="Verdana" w:hAnsi="Verdana" w:cs="Verdana"/>
              </w:rPr>
              <w:t>Status: Enacted</w:t>
            </w:r>
          </w:p>
          <w:p w14:paraId="2550E212" w14:textId="77777777" w:rsidR="006957D7" w:rsidRDefault="002D2218">
            <w:pPr>
              <w:numPr>
                <w:ilvl w:val="1"/>
                <w:numId w:val="5"/>
              </w:numPr>
              <w:spacing w:after="0" w:line="240" w:lineRule="auto"/>
              <w:rPr>
                <w:rFonts w:ascii="Verdana" w:eastAsia="Verdana" w:hAnsi="Verdana" w:cs="Verdana"/>
                <w:b/>
              </w:rPr>
            </w:pPr>
            <w:r>
              <w:rPr>
                <w:rFonts w:ascii="Verdana" w:eastAsia="Verdana" w:hAnsi="Verdana" w:cs="Verdana"/>
                <w:b/>
                <w:u w:val="single"/>
              </w:rPr>
              <w:t>Arizona</w:t>
            </w:r>
          </w:p>
          <w:p w14:paraId="2AFD8D5B" w14:textId="77777777" w:rsidR="006957D7" w:rsidRDefault="002D2218">
            <w:pPr>
              <w:widowControl w:val="0"/>
              <w:numPr>
                <w:ilvl w:val="2"/>
                <w:numId w:val="5"/>
              </w:numPr>
              <w:spacing w:after="0" w:line="243" w:lineRule="auto"/>
              <w:ind w:right="206"/>
              <w:rPr>
                <w:rFonts w:ascii="Verdana" w:eastAsia="Verdana" w:hAnsi="Verdana" w:cs="Verdana"/>
              </w:rPr>
            </w:pPr>
            <w:r>
              <w:rPr>
                <w:rFonts w:ascii="Verdana" w:eastAsia="Verdana" w:hAnsi="Verdana" w:cs="Verdana"/>
              </w:rPr>
              <w:t xml:space="preserve">Bill Number: </w:t>
            </w:r>
            <w:hyperlink r:id="rId14">
              <w:r>
                <w:rPr>
                  <w:rFonts w:ascii="Verdana" w:eastAsia="Verdana" w:hAnsi="Verdana" w:cs="Verdana"/>
                  <w:color w:val="1155CC"/>
                  <w:u w:val="single"/>
                </w:rPr>
                <w:t>SB 1421</w:t>
              </w:r>
            </w:hyperlink>
            <w:r>
              <w:rPr>
                <w:rFonts w:ascii="Verdana" w:eastAsia="Verdana" w:hAnsi="Verdana" w:cs="Verdana"/>
              </w:rPr>
              <w:t xml:space="preserve"> (</w:t>
            </w:r>
            <w:hyperlink r:id="rId15">
              <w:r>
                <w:rPr>
                  <w:rFonts w:ascii="Verdana" w:eastAsia="Verdana" w:hAnsi="Verdana" w:cs="Verdana"/>
                  <w:color w:val="1155CC"/>
                  <w:u w:val="single"/>
                </w:rPr>
                <w:t>Fact Sheet</w:t>
              </w:r>
            </w:hyperlink>
            <w:r>
              <w:rPr>
                <w:rFonts w:ascii="Verdana" w:eastAsia="Verdana" w:hAnsi="Verdana" w:cs="Verdana"/>
              </w:rPr>
              <w:t>)</w:t>
            </w:r>
          </w:p>
          <w:p w14:paraId="5C24AB1B" w14:textId="77777777" w:rsidR="006957D7" w:rsidRDefault="002D2218">
            <w:pPr>
              <w:widowControl w:val="0"/>
              <w:numPr>
                <w:ilvl w:val="2"/>
                <w:numId w:val="5"/>
              </w:numPr>
              <w:spacing w:after="0" w:line="243" w:lineRule="auto"/>
              <w:ind w:right="206"/>
              <w:rPr>
                <w:rFonts w:ascii="Verdana" w:eastAsia="Verdana" w:hAnsi="Verdana" w:cs="Verdana"/>
              </w:rPr>
            </w:pPr>
            <w:r>
              <w:rPr>
                <w:rFonts w:ascii="Verdana" w:eastAsia="Verdana" w:hAnsi="Verdana" w:cs="Verdana"/>
              </w:rPr>
              <w:t>Session: 56th Legislature, First Regular Session</w:t>
            </w:r>
          </w:p>
          <w:p w14:paraId="05C51CDA" w14:textId="77777777" w:rsidR="006957D7" w:rsidRDefault="002D2218">
            <w:pPr>
              <w:widowControl w:val="0"/>
              <w:numPr>
                <w:ilvl w:val="2"/>
                <w:numId w:val="5"/>
              </w:numPr>
              <w:spacing w:after="0" w:line="243" w:lineRule="auto"/>
              <w:ind w:right="206"/>
              <w:rPr>
                <w:rFonts w:ascii="Verdana" w:eastAsia="Verdana" w:hAnsi="Verdana" w:cs="Verdana"/>
              </w:rPr>
            </w:pPr>
            <w:r>
              <w:rPr>
                <w:rFonts w:ascii="Verdana" w:eastAsia="Verdana" w:hAnsi="Verdana" w:cs="Verdana"/>
              </w:rPr>
              <w:t>Status: Passed by the Arizona Senate in March 2023, Stalled in the House</w:t>
            </w:r>
          </w:p>
          <w:p w14:paraId="75F09C34" w14:textId="77777777" w:rsidR="006957D7" w:rsidRDefault="002D2218">
            <w:pPr>
              <w:widowControl w:val="0"/>
              <w:numPr>
                <w:ilvl w:val="1"/>
                <w:numId w:val="5"/>
              </w:numPr>
              <w:spacing w:after="0" w:line="243" w:lineRule="auto"/>
              <w:ind w:right="206"/>
              <w:rPr>
                <w:rFonts w:ascii="Verdana" w:eastAsia="Verdana" w:hAnsi="Verdana" w:cs="Verdana"/>
                <w:b/>
              </w:rPr>
            </w:pPr>
            <w:r>
              <w:rPr>
                <w:rFonts w:ascii="Verdana" w:eastAsia="Verdana" w:hAnsi="Verdana" w:cs="Verdana"/>
                <w:b/>
                <w:u w:val="single"/>
              </w:rPr>
              <w:t>Colorado</w:t>
            </w:r>
          </w:p>
          <w:p w14:paraId="2AA55BE5" w14:textId="77777777" w:rsidR="006957D7" w:rsidRDefault="002D2218">
            <w:pPr>
              <w:widowControl w:val="0"/>
              <w:numPr>
                <w:ilvl w:val="2"/>
                <w:numId w:val="5"/>
              </w:numPr>
              <w:spacing w:after="0" w:line="243" w:lineRule="auto"/>
              <w:ind w:right="206"/>
              <w:rPr>
                <w:rFonts w:ascii="Verdana" w:eastAsia="Verdana" w:hAnsi="Verdana" w:cs="Verdana"/>
              </w:rPr>
            </w:pPr>
            <w:r>
              <w:rPr>
                <w:rFonts w:ascii="Verdana" w:eastAsia="Verdana" w:hAnsi="Verdana" w:cs="Verdana"/>
              </w:rPr>
              <w:t xml:space="preserve">Bill Number: </w:t>
            </w:r>
            <w:hyperlink r:id="rId16">
              <w:r>
                <w:rPr>
                  <w:rFonts w:ascii="Verdana" w:eastAsia="Verdana" w:hAnsi="Verdana" w:cs="Verdana"/>
                  <w:color w:val="1155CC"/>
                  <w:u w:val="single"/>
                </w:rPr>
                <w:t>HB23-1040</w:t>
              </w:r>
            </w:hyperlink>
          </w:p>
          <w:p w14:paraId="24C33456" w14:textId="77777777" w:rsidR="006957D7" w:rsidRDefault="002D2218">
            <w:pPr>
              <w:widowControl w:val="0"/>
              <w:numPr>
                <w:ilvl w:val="2"/>
                <w:numId w:val="5"/>
              </w:numPr>
              <w:spacing w:after="0" w:line="243" w:lineRule="auto"/>
              <w:ind w:right="206"/>
              <w:rPr>
                <w:rFonts w:ascii="Verdana" w:eastAsia="Verdana" w:hAnsi="Verdana" w:cs="Verdana"/>
              </w:rPr>
            </w:pPr>
            <w:r>
              <w:rPr>
                <w:rFonts w:ascii="Verdana" w:eastAsia="Verdana" w:hAnsi="Verdana" w:cs="Verdana"/>
              </w:rPr>
              <w:t>Session: 2023 Regular Session</w:t>
            </w:r>
          </w:p>
          <w:p w14:paraId="6FBBA067" w14:textId="77777777" w:rsidR="006957D7" w:rsidRDefault="002D2218">
            <w:pPr>
              <w:widowControl w:val="0"/>
              <w:numPr>
                <w:ilvl w:val="2"/>
                <w:numId w:val="5"/>
              </w:numPr>
              <w:spacing w:after="0" w:line="243" w:lineRule="auto"/>
              <w:ind w:right="206"/>
              <w:rPr>
                <w:rFonts w:ascii="Verdana" w:eastAsia="Verdana" w:hAnsi="Verdana" w:cs="Verdana"/>
              </w:rPr>
            </w:pPr>
            <w:r>
              <w:rPr>
                <w:rFonts w:ascii="Verdana" w:eastAsia="Verdana" w:hAnsi="Verdana" w:cs="Verdana"/>
              </w:rPr>
              <w:t>Status: Enacted</w:t>
            </w:r>
          </w:p>
          <w:p w14:paraId="0C059578" w14:textId="77777777" w:rsidR="006957D7" w:rsidRDefault="002D2218">
            <w:pPr>
              <w:widowControl w:val="0"/>
              <w:numPr>
                <w:ilvl w:val="1"/>
                <w:numId w:val="5"/>
              </w:numPr>
              <w:spacing w:after="0" w:line="243" w:lineRule="auto"/>
              <w:ind w:right="206"/>
              <w:rPr>
                <w:rFonts w:ascii="Verdana" w:eastAsia="Verdana" w:hAnsi="Verdana" w:cs="Verdana"/>
                <w:b/>
              </w:rPr>
            </w:pPr>
            <w:r>
              <w:rPr>
                <w:rFonts w:ascii="Verdana" w:eastAsia="Verdana" w:hAnsi="Verdana" w:cs="Verdana"/>
                <w:b/>
                <w:u w:val="single"/>
              </w:rPr>
              <w:t>Connecticut</w:t>
            </w:r>
          </w:p>
          <w:p w14:paraId="4D43CE6C" w14:textId="77777777" w:rsidR="006957D7" w:rsidRDefault="002D2218">
            <w:pPr>
              <w:widowControl w:val="0"/>
              <w:numPr>
                <w:ilvl w:val="2"/>
                <w:numId w:val="5"/>
              </w:numPr>
              <w:spacing w:after="0" w:line="243" w:lineRule="auto"/>
              <w:ind w:right="206"/>
              <w:rPr>
                <w:rFonts w:ascii="Verdana" w:eastAsia="Verdana" w:hAnsi="Verdana" w:cs="Verdana"/>
              </w:rPr>
            </w:pPr>
            <w:r>
              <w:rPr>
                <w:rFonts w:ascii="Verdana" w:eastAsia="Verdana" w:hAnsi="Verdana" w:cs="Verdana"/>
              </w:rPr>
              <w:t xml:space="preserve">Bill Number: </w:t>
            </w:r>
            <w:hyperlink r:id="rId17">
              <w:r>
                <w:rPr>
                  <w:rFonts w:ascii="Verdana" w:eastAsia="Verdana" w:hAnsi="Verdana" w:cs="Verdana"/>
                  <w:color w:val="1155CC"/>
                  <w:u w:val="single"/>
                </w:rPr>
                <w:t>HB 5293</w:t>
              </w:r>
            </w:hyperlink>
          </w:p>
          <w:p w14:paraId="3D52D70E" w14:textId="77777777" w:rsidR="006957D7" w:rsidRDefault="002D2218">
            <w:pPr>
              <w:widowControl w:val="0"/>
              <w:numPr>
                <w:ilvl w:val="2"/>
                <w:numId w:val="5"/>
              </w:numPr>
              <w:spacing w:after="0" w:line="243" w:lineRule="auto"/>
              <w:ind w:right="206"/>
              <w:rPr>
                <w:rFonts w:ascii="Verdana" w:eastAsia="Verdana" w:hAnsi="Verdana" w:cs="Verdana"/>
              </w:rPr>
            </w:pPr>
            <w:r>
              <w:rPr>
                <w:rFonts w:ascii="Verdana" w:eastAsia="Verdana" w:hAnsi="Verdana" w:cs="Verdana"/>
              </w:rPr>
              <w:t>See Sections 7(a), 16(a), and 16(e)</w:t>
            </w:r>
          </w:p>
          <w:p w14:paraId="2E111B6A" w14:textId="77777777" w:rsidR="006957D7" w:rsidRDefault="002D2218">
            <w:pPr>
              <w:widowControl w:val="0"/>
              <w:numPr>
                <w:ilvl w:val="2"/>
                <w:numId w:val="5"/>
              </w:numPr>
              <w:spacing w:after="0" w:line="243" w:lineRule="auto"/>
              <w:ind w:right="206"/>
              <w:rPr>
                <w:rFonts w:ascii="Verdana" w:eastAsia="Verdana" w:hAnsi="Verdana" w:cs="Verdana"/>
              </w:rPr>
            </w:pPr>
            <w:r>
              <w:rPr>
                <w:rFonts w:ascii="Verdana" w:eastAsia="Verdana" w:hAnsi="Verdana" w:cs="Verdana"/>
              </w:rPr>
              <w:t>Session: 2024 Regular Session</w:t>
            </w:r>
            <w:r>
              <w:rPr>
                <w:rFonts w:ascii="Verdana" w:eastAsia="Verdana" w:hAnsi="Verdana" w:cs="Verdana"/>
              </w:rPr>
              <w:br/>
            </w:r>
            <w:r>
              <w:rPr>
                <w:rFonts w:ascii="Verdana" w:eastAsia="Verdana" w:hAnsi="Verdana" w:cs="Verdana"/>
              </w:rPr>
              <w:lastRenderedPageBreak/>
              <w:t>Status: Enacted</w:t>
            </w:r>
          </w:p>
          <w:p w14:paraId="6155777D" w14:textId="77777777" w:rsidR="006957D7" w:rsidRDefault="002D2218">
            <w:pPr>
              <w:widowControl w:val="0"/>
              <w:numPr>
                <w:ilvl w:val="1"/>
                <w:numId w:val="5"/>
              </w:numPr>
              <w:spacing w:after="0" w:line="243" w:lineRule="auto"/>
              <w:ind w:right="206"/>
              <w:rPr>
                <w:rFonts w:ascii="Verdana" w:eastAsia="Verdana" w:hAnsi="Verdana" w:cs="Verdana"/>
                <w:b/>
              </w:rPr>
            </w:pPr>
            <w:r>
              <w:rPr>
                <w:rFonts w:ascii="Verdana" w:eastAsia="Verdana" w:hAnsi="Verdana" w:cs="Verdana"/>
                <w:b/>
                <w:u w:val="single"/>
              </w:rPr>
              <w:t>Minnesota</w:t>
            </w:r>
          </w:p>
          <w:p w14:paraId="26D5E947" w14:textId="77777777" w:rsidR="006957D7" w:rsidRDefault="002D2218">
            <w:pPr>
              <w:widowControl w:val="0"/>
              <w:numPr>
                <w:ilvl w:val="2"/>
                <w:numId w:val="5"/>
              </w:numPr>
              <w:spacing w:after="0" w:line="243" w:lineRule="auto"/>
              <w:ind w:right="206"/>
              <w:rPr>
                <w:rFonts w:ascii="Verdana" w:eastAsia="Verdana" w:hAnsi="Verdana" w:cs="Verdana"/>
              </w:rPr>
            </w:pPr>
            <w:r>
              <w:rPr>
                <w:rFonts w:ascii="Verdana" w:eastAsia="Verdana" w:hAnsi="Verdana" w:cs="Verdana"/>
              </w:rPr>
              <w:t xml:space="preserve">Bill Number: </w:t>
            </w:r>
            <w:hyperlink r:id="rId18">
              <w:r>
                <w:rPr>
                  <w:rFonts w:ascii="Verdana" w:eastAsia="Verdana" w:hAnsi="Verdana" w:cs="Verdana"/>
                  <w:color w:val="1155CC"/>
                  <w:u w:val="single"/>
                </w:rPr>
                <w:t>SF 5335</w:t>
              </w:r>
            </w:hyperlink>
          </w:p>
          <w:p w14:paraId="77630DB9" w14:textId="77777777" w:rsidR="006957D7" w:rsidRDefault="002D2218">
            <w:pPr>
              <w:widowControl w:val="0"/>
              <w:numPr>
                <w:ilvl w:val="2"/>
                <w:numId w:val="5"/>
              </w:numPr>
              <w:spacing w:after="0" w:line="243" w:lineRule="auto"/>
              <w:ind w:right="206"/>
              <w:rPr>
                <w:rFonts w:ascii="Verdana" w:eastAsia="Verdana" w:hAnsi="Verdana" w:cs="Verdana"/>
              </w:rPr>
            </w:pPr>
            <w:r>
              <w:rPr>
                <w:rFonts w:ascii="Verdana" w:eastAsia="Verdana" w:hAnsi="Verdana" w:cs="Verdana"/>
              </w:rPr>
              <w:t>See Section 11</w:t>
            </w:r>
          </w:p>
          <w:p w14:paraId="2E12769B" w14:textId="77777777" w:rsidR="006957D7" w:rsidRDefault="002D2218">
            <w:pPr>
              <w:widowControl w:val="0"/>
              <w:numPr>
                <w:ilvl w:val="2"/>
                <w:numId w:val="5"/>
              </w:numPr>
              <w:spacing w:after="0" w:line="243" w:lineRule="auto"/>
              <w:ind w:right="206"/>
              <w:rPr>
                <w:rFonts w:ascii="Verdana" w:eastAsia="Verdana" w:hAnsi="Verdana" w:cs="Verdana"/>
              </w:rPr>
            </w:pPr>
            <w:r>
              <w:rPr>
                <w:rFonts w:ascii="Verdana" w:eastAsia="Verdana" w:hAnsi="Verdana" w:cs="Verdana"/>
              </w:rPr>
              <w:t>Session: 93rd Legislature (2023-2024)</w:t>
            </w:r>
          </w:p>
          <w:p w14:paraId="155CF0A7" w14:textId="77777777" w:rsidR="006957D7" w:rsidRDefault="002D2218">
            <w:pPr>
              <w:widowControl w:val="0"/>
              <w:numPr>
                <w:ilvl w:val="2"/>
                <w:numId w:val="5"/>
              </w:numPr>
              <w:spacing w:after="0" w:line="243" w:lineRule="auto"/>
              <w:ind w:right="206"/>
              <w:rPr>
                <w:rFonts w:ascii="Verdana" w:eastAsia="Verdana" w:hAnsi="Verdana" w:cs="Verdana"/>
              </w:rPr>
            </w:pPr>
            <w:r>
              <w:rPr>
                <w:rFonts w:ascii="Verdana" w:eastAsia="Verdana" w:hAnsi="Verdana" w:cs="Verdana"/>
              </w:rPr>
              <w:t>Status: Enacted</w:t>
            </w:r>
          </w:p>
          <w:p w14:paraId="2988F011" w14:textId="77777777" w:rsidR="006957D7" w:rsidRDefault="006957D7">
            <w:pPr>
              <w:shd w:val="clear" w:color="auto" w:fill="FFFFFF"/>
              <w:spacing w:after="0" w:line="240" w:lineRule="auto"/>
              <w:ind w:left="1440"/>
              <w:rPr>
                <w:rFonts w:ascii="Verdana" w:eastAsia="Verdana" w:hAnsi="Verdana" w:cs="Verdana"/>
                <w:shd w:val="clear" w:color="auto" w:fill="E7E6E6"/>
              </w:rPr>
            </w:pPr>
          </w:p>
        </w:tc>
      </w:tr>
      <w:tr w:rsidR="006957D7" w14:paraId="4C44BE57" w14:textId="77777777">
        <w:trPr>
          <w:trHeight w:val="550"/>
        </w:trPr>
        <w:tc>
          <w:tcPr>
            <w:tcW w:w="9906" w:type="dxa"/>
            <w:gridSpan w:val="2"/>
            <w:tcBorders>
              <w:top w:val="single" w:sz="12" w:space="0" w:color="000000"/>
              <w:left w:val="single" w:sz="12" w:space="0" w:color="000000"/>
              <w:bottom w:val="single" w:sz="12" w:space="0" w:color="000000"/>
              <w:right w:val="single" w:sz="12" w:space="0" w:color="000000"/>
            </w:tcBorders>
            <w:tcMar>
              <w:top w:w="105" w:type="dxa"/>
              <w:left w:w="105" w:type="dxa"/>
              <w:bottom w:w="105" w:type="dxa"/>
              <w:right w:w="105" w:type="dxa"/>
            </w:tcMar>
          </w:tcPr>
          <w:p w14:paraId="79876249" w14:textId="77777777" w:rsidR="006957D7" w:rsidRDefault="002D2218">
            <w:pPr>
              <w:spacing w:after="120" w:line="240" w:lineRule="auto"/>
              <w:rPr>
                <w:rFonts w:ascii="Verdana" w:eastAsia="Verdana" w:hAnsi="Verdana" w:cs="Verdana"/>
                <w:b/>
                <w:color w:val="000000"/>
                <w:sz w:val="24"/>
                <w:szCs w:val="24"/>
              </w:rPr>
            </w:pPr>
            <w:r>
              <w:rPr>
                <w:rFonts w:ascii="Verdana" w:eastAsia="Verdana" w:hAnsi="Verdana" w:cs="Verdana"/>
                <w:b/>
                <w:color w:val="000000"/>
                <w:sz w:val="24"/>
                <w:szCs w:val="24"/>
              </w:rPr>
              <w:lastRenderedPageBreak/>
              <w:t xml:space="preserve">Explain the feasibility of this recommendation: </w:t>
            </w:r>
          </w:p>
          <w:p w14:paraId="59D27657" w14:textId="77777777" w:rsidR="006957D7" w:rsidRDefault="002D2218">
            <w:pPr>
              <w:spacing w:before="60" w:after="60" w:line="240" w:lineRule="auto"/>
              <w:rPr>
                <w:rFonts w:ascii="Verdana" w:eastAsia="Verdana" w:hAnsi="Verdana" w:cs="Verdana"/>
                <w:color w:val="000000"/>
                <w:shd w:val="clear" w:color="auto" w:fill="E7E6E6"/>
              </w:rPr>
            </w:pPr>
            <w:r>
              <w:rPr>
                <w:rFonts w:ascii="Verdana" w:eastAsia="Verdana" w:hAnsi="Verdana" w:cs="Verdana"/>
                <w:color w:val="000000"/>
                <w:shd w:val="clear" w:color="auto" w:fill="E7E6E6"/>
              </w:rPr>
              <w:t>The most successful policy proposals are practical, specific, and able to be supported by many different stakeholders. What successes and difficulties do you anticipate encountering?</w:t>
            </w:r>
          </w:p>
          <w:p w14:paraId="7A12D021" w14:textId="77777777" w:rsidR="006957D7" w:rsidRDefault="002D2218">
            <w:pPr>
              <w:numPr>
                <w:ilvl w:val="0"/>
                <w:numId w:val="4"/>
              </w:numPr>
              <w:spacing w:before="60" w:after="60" w:line="240" w:lineRule="auto"/>
              <w:rPr>
                <w:rFonts w:ascii="Verdana" w:eastAsia="Verdana" w:hAnsi="Verdana" w:cs="Verdana"/>
              </w:rPr>
            </w:pPr>
            <w:r>
              <w:rPr>
                <w:rFonts w:ascii="Verdana" w:eastAsia="Verdana" w:hAnsi="Verdana" w:cs="Verdana"/>
              </w:rPr>
              <w:t>The feasibility of this recommendation lies in its practical and focused approach to addressing a specific, critical gap in Texas programs for individuals with Prader-Willi syndrome (PWS). By targeting the IQ requirements that currently hinder access to necessary support services, this proposal is both specific and well-positioned to gain stakeholder support.</w:t>
            </w:r>
          </w:p>
          <w:p w14:paraId="3EC76ABD" w14:textId="77777777" w:rsidR="006957D7" w:rsidRDefault="006957D7">
            <w:pPr>
              <w:spacing w:before="60" w:after="60" w:line="240" w:lineRule="auto"/>
              <w:ind w:left="720"/>
              <w:rPr>
                <w:rFonts w:ascii="Verdana" w:eastAsia="Verdana" w:hAnsi="Verdana" w:cs="Verdana"/>
              </w:rPr>
            </w:pPr>
          </w:p>
          <w:p w14:paraId="0356AC1B" w14:textId="77777777" w:rsidR="006957D7" w:rsidRDefault="002D2218">
            <w:pPr>
              <w:spacing w:before="60" w:after="60" w:line="240" w:lineRule="auto"/>
              <w:rPr>
                <w:rFonts w:ascii="Verdana" w:eastAsia="Verdana" w:hAnsi="Verdana" w:cs="Verdana"/>
                <w:b/>
              </w:rPr>
            </w:pPr>
            <w:r>
              <w:rPr>
                <w:rFonts w:ascii="Verdana" w:eastAsia="Verdana" w:hAnsi="Verdana" w:cs="Verdana"/>
                <w:b/>
              </w:rPr>
              <w:t>Anticipated Successes:</w:t>
            </w:r>
          </w:p>
          <w:p w14:paraId="2F153A50" w14:textId="77777777" w:rsidR="006957D7" w:rsidRDefault="002D2218">
            <w:pPr>
              <w:numPr>
                <w:ilvl w:val="0"/>
                <w:numId w:val="4"/>
              </w:numPr>
              <w:spacing w:before="60" w:after="0" w:line="240" w:lineRule="auto"/>
              <w:rPr>
                <w:rFonts w:ascii="Verdana" w:eastAsia="Verdana" w:hAnsi="Verdana" w:cs="Verdana"/>
              </w:rPr>
            </w:pPr>
            <w:r>
              <w:rPr>
                <w:rFonts w:ascii="Verdana" w:eastAsia="Verdana" w:hAnsi="Verdana" w:cs="Verdana"/>
                <w:u w:val="single"/>
              </w:rPr>
              <w:t>Focused Advocacy with Community Backing:</w:t>
            </w:r>
          </w:p>
          <w:p w14:paraId="5C6AD2DF" w14:textId="77777777" w:rsidR="006957D7" w:rsidRDefault="002D2218">
            <w:pPr>
              <w:numPr>
                <w:ilvl w:val="1"/>
                <w:numId w:val="4"/>
              </w:numPr>
              <w:spacing w:after="0" w:line="240" w:lineRule="auto"/>
              <w:rPr>
                <w:rFonts w:ascii="Verdana" w:eastAsia="Verdana" w:hAnsi="Verdana" w:cs="Verdana"/>
              </w:rPr>
            </w:pPr>
            <w:r>
              <w:rPr>
                <w:rFonts w:ascii="Verdana" w:eastAsia="Verdana" w:hAnsi="Verdana" w:cs="Verdana"/>
              </w:rPr>
              <w:t>The Texas PWS community is unified and highly motivated to support this effort. Members of the community have established strong relationships with staff at the Texas Health and Human Services Commission (HHSC), who are familiar with the unique and life-threatening challenges of PWS and would likely support a legislative change.</w:t>
            </w:r>
          </w:p>
          <w:p w14:paraId="09289D9E" w14:textId="77777777" w:rsidR="006957D7" w:rsidRDefault="002D2218">
            <w:pPr>
              <w:numPr>
                <w:ilvl w:val="1"/>
                <w:numId w:val="4"/>
              </w:numPr>
              <w:spacing w:after="0" w:line="240" w:lineRule="auto"/>
              <w:rPr>
                <w:rFonts w:ascii="Verdana" w:eastAsia="Verdana" w:hAnsi="Verdana" w:cs="Verdana"/>
              </w:rPr>
            </w:pPr>
            <w:r>
              <w:rPr>
                <w:rFonts w:ascii="Verdana" w:eastAsia="Verdana" w:hAnsi="Verdana" w:cs="Verdana"/>
              </w:rPr>
              <w:t>Advocacy for an exemption from IQ requirements is bolstered by the compelling and unique argument that higher IQs in individuals with PWS often increase their risk of death, as these individuals are more capable of circumventing safeguards to access food, putting their lives in greater danger.</w:t>
            </w:r>
          </w:p>
          <w:p w14:paraId="76335963" w14:textId="77777777" w:rsidR="006957D7" w:rsidRDefault="002D2218">
            <w:pPr>
              <w:numPr>
                <w:ilvl w:val="0"/>
                <w:numId w:val="4"/>
              </w:numPr>
              <w:spacing w:after="0" w:line="240" w:lineRule="auto"/>
              <w:rPr>
                <w:rFonts w:ascii="Verdana" w:eastAsia="Verdana" w:hAnsi="Verdana" w:cs="Verdana"/>
              </w:rPr>
            </w:pPr>
            <w:r>
              <w:rPr>
                <w:rFonts w:ascii="Verdana" w:eastAsia="Verdana" w:hAnsi="Verdana" w:cs="Verdana"/>
                <w:u w:val="single"/>
              </w:rPr>
              <w:t>Targeted and Practical Scope:</w:t>
            </w:r>
          </w:p>
          <w:p w14:paraId="2AF92480" w14:textId="77777777" w:rsidR="006957D7" w:rsidRDefault="002D2218">
            <w:pPr>
              <w:numPr>
                <w:ilvl w:val="1"/>
                <w:numId w:val="4"/>
              </w:numPr>
              <w:spacing w:after="0" w:line="240" w:lineRule="auto"/>
              <w:rPr>
                <w:rFonts w:ascii="Verdana" w:eastAsia="Verdana" w:hAnsi="Verdana" w:cs="Verdana"/>
              </w:rPr>
            </w:pPr>
            <w:r>
              <w:rPr>
                <w:rFonts w:ascii="Verdana" w:eastAsia="Verdana" w:hAnsi="Verdana" w:cs="Verdana"/>
              </w:rPr>
              <w:t>The proposal focuses on a specific and well-documented issue—the inappropriate application of IQ thresholds for individuals with PWS. By addressing this single, critical aspect of service eligibility, the recommendation avoids overly broad or vague demands, making it more actionable and feasible for policymakers.</w:t>
            </w:r>
          </w:p>
          <w:p w14:paraId="32FA0DF4" w14:textId="77777777" w:rsidR="006957D7" w:rsidRDefault="002D2218">
            <w:pPr>
              <w:numPr>
                <w:ilvl w:val="0"/>
                <w:numId w:val="4"/>
              </w:numPr>
              <w:spacing w:after="0" w:line="240" w:lineRule="auto"/>
              <w:rPr>
                <w:rFonts w:ascii="Verdana" w:eastAsia="Verdana" w:hAnsi="Verdana" w:cs="Verdana"/>
              </w:rPr>
            </w:pPr>
            <w:r>
              <w:rPr>
                <w:rFonts w:ascii="Verdana" w:eastAsia="Verdana" w:hAnsi="Verdana" w:cs="Verdana"/>
                <w:u w:val="single"/>
              </w:rPr>
              <w:t>Legislative Alignment with PWS Risks:</w:t>
            </w:r>
          </w:p>
          <w:p w14:paraId="3DF6201C" w14:textId="77777777" w:rsidR="006957D7" w:rsidRDefault="002D2218">
            <w:pPr>
              <w:numPr>
                <w:ilvl w:val="1"/>
                <w:numId w:val="4"/>
              </w:numPr>
              <w:spacing w:after="60" w:line="240" w:lineRule="auto"/>
              <w:rPr>
                <w:rFonts w:ascii="Verdana" w:eastAsia="Verdana" w:hAnsi="Verdana" w:cs="Verdana"/>
              </w:rPr>
            </w:pPr>
            <w:r>
              <w:rPr>
                <w:rFonts w:ascii="Verdana" w:eastAsia="Verdana" w:hAnsi="Verdana" w:cs="Verdana"/>
              </w:rPr>
              <w:t>The recommendation highlights the uniquely life-threatening nature of PWS, which distinguishes it from other rare diseases. This makes the case for an exemption clear and persuasive, as it directly correlates to the fundamental safety and well-being of individuals with PWS.</w:t>
            </w:r>
          </w:p>
          <w:p w14:paraId="263A9D2D" w14:textId="77777777" w:rsidR="006957D7" w:rsidRDefault="006957D7">
            <w:pPr>
              <w:spacing w:before="60" w:after="60" w:line="240" w:lineRule="auto"/>
              <w:ind w:left="720"/>
              <w:rPr>
                <w:rFonts w:ascii="Verdana" w:eastAsia="Verdana" w:hAnsi="Verdana" w:cs="Verdana"/>
              </w:rPr>
            </w:pPr>
          </w:p>
          <w:p w14:paraId="31AC9A5F" w14:textId="77777777" w:rsidR="006957D7" w:rsidRDefault="002D2218">
            <w:pPr>
              <w:spacing w:before="60" w:after="60" w:line="240" w:lineRule="auto"/>
              <w:rPr>
                <w:rFonts w:ascii="Verdana" w:eastAsia="Verdana" w:hAnsi="Verdana" w:cs="Verdana"/>
                <w:b/>
              </w:rPr>
            </w:pPr>
            <w:r>
              <w:rPr>
                <w:rFonts w:ascii="Verdana" w:eastAsia="Verdana" w:hAnsi="Verdana" w:cs="Verdana"/>
                <w:b/>
              </w:rPr>
              <w:t xml:space="preserve">Anticipated Difficulties: </w:t>
            </w:r>
          </w:p>
          <w:p w14:paraId="45AAEBE1" w14:textId="77777777" w:rsidR="006957D7" w:rsidRDefault="002D2218">
            <w:pPr>
              <w:numPr>
                <w:ilvl w:val="0"/>
                <w:numId w:val="4"/>
              </w:numPr>
              <w:spacing w:before="60" w:after="0" w:line="240" w:lineRule="auto"/>
              <w:rPr>
                <w:rFonts w:ascii="Verdana" w:eastAsia="Verdana" w:hAnsi="Verdana" w:cs="Verdana"/>
              </w:rPr>
            </w:pPr>
            <w:r>
              <w:rPr>
                <w:rFonts w:ascii="Verdana" w:eastAsia="Verdana" w:hAnsi="Verdana" w:cs="Verdana"/>
                <w:u w:val="single"/>
              </w:rPr>
              <w:t>Limited Awareness:</w:t>
            </w:r>
          </w:p>
          <w:p w14:paraId="4927E783" w14:textId="77777777" w:rsidR="006957D7" w:rsidRDefault="002D2218">
            <w:pPr>
              <w:numPr>
                <w:ilvl w:val="1"/>
                <w:numId w:val="4"/>
              </w:numPr>
              <w:spacing w:after="0" w:line="240" w:lineRule="auto"/>
              <w:rPr>
                <w:rFonts w:ascii="Verdana" w:eastAsia="Verdana" w:hAnsi="Verdana" w:cs="Verdana"/>
              </w:rPr>
            </w:pPr>
            <w:r>
              <w:rPr>
                <w:rFonts w:ascii="Verdana" w:eastAsia="Verdana" w:hAnsi="Verdana" w:cs="Verdana"/>
              </w:rPr>
              <w:t>Because PWS is a rare disease, impacting only an estimated two to three thousand Texans, many people don’t yet know about PWS and its impact on individuals and families.</w:t>
            </w:r>
          </w:p>
          <w:p w14:paraId="1AE95F17" w14:textId="77777777" w:rsidR="006957D7" w:rsidRDefault="002D2218">
            <w:pPr>
              <w:numPr>
                <w:ilvl w:val="0"/>
                <w:numId w:val="4"/>
              </w:numPr>
              <w:spacing w:after="0" w:line="240" w:lineRule="auto"/>
              <w:rPr>
                <w:rFonts w:ascii="Verdana" w:eastAsia="Verdana" w:hAnsi="Verdana" w:cs="Verdana"/>
              </w:rPr>
            </w:pPr>
            <w:r>
              <w:rPr>
                <w:rFonts w:ascii="Verdana" w:eastAsia="Verdana" w:hAnsi="Verdana" w:cs="Verdana"/>
                <w:u w:val="single"/>
              </w:rPr>
              <w:t xml:space="preserve">Creating a Disease-Specific Exemption: </w:t>
            </w:r>
          </w:p>
          <w:p w14:paraId="05F1A850" w14:textId="77777777" w:rsidR="006957D7" w:rsidRDefault="002D2218">
            <w:pPr>
              <w:numPr>
                <w:ilvl w:val="1"/>
                <w:numId w:val="4"/>
              </w:numPr>
              <w:spacing w:after="0" w:line="240" w:lineRule="auto"/>
              <w:rPr>
                <w:rFonts w:ascii="Verdana" w:eastAsia="Verdana" w:hAnsi="Verdana" w:cs="Verdana"/>
              </w:rPr>
            </w:pPr>
            <w:r>
              <w:rPr>
                <w:rFonts w:ascii="Verdana" w:eastAsia="Verdana" w:hAnsi="Verdana" w:cs="Verdana"/>
              </w:rPr>
              <w:lastRenderedPageBreak/>
              <w:t>Policymakers might hesitate to single out PWS, but the uniquely life-threatening nature of hyperphagia makes a strong case for this targeted change.</w:t>
            </w:r>
          </w:p>
          <w:p w14:paraId="22D2A5F5" w14:textId="77777777" w:rsidR="006957D7" w:rsidRDefault="002D2218">
            <w:pPr>
              <w:numPr>
                <w:ilvl w:val="0"/>
                <w:numId w:val="4"/>
              </w:numPr>
              <w:spacing w:after="0" w:line="240" w:lineRule="auto"/>
              <w:rPr>
                <w:rFonts w:ascii="Verdana" w:eastAsia="Verdana" w:hAnsi="Verdana" w:cs="Verdana"/>
              </w:rPr>
            </w:pPr>
            <w:r>
              <w:rPr>
                <w:rFonts w:ascii="Verdana" w:eastAsia="Verdana" w:hAnsi="Verdana" w:cs="Verdana"/>
                <w:u w:val="single"/>
              </w:rPr>
              <w:t xml:space="preserve">Program Complexity: </w:t>
            </w:r>
          </w:p>
          <w:p w14:paraId="063577E2" w14:textId="77777777" w:rsidR="006957D7" w:rsidRDefault="002D2218">
            <w:pPr>
              <w:numPr>
                <w:ilvl w:val="1"/>
                <w:numId w:val="4"/>
              </w:numPr>
              <w:spacing w:after="60" w:line="240" w:lineRule="auto"/>
              <w:rPr>
                <w:rFonts w:ascii="Verdana" w:eastAsia="Verdana" w:hAnsi="Verdana" w:cs="Verdana"/>
              </w:rPr>
            </w:pPr>
            <w:r>
              <w:rPr>
                <w:rFonts w:ascii="Verdana" w:eastAsia="Verdana" w:hAnsi="Verdana" w:cs="Verdana"/>
              </w:rPr>
              <w:t>Texas disability programs are intricate, but collaboration with supportive HHSC staff can help streamline implementation.</w:t>
            </w:r>
          </w:p>
        </w:tc>
      </w:tr>
      <w:tr w:rsidR="006957D7" w14:paraId="63FC61CB" w14:textId="77777777">
        <w:trPr>
          <w:trHeight w:val="550"/>
        </w:trPr>
        <w:tc>
          <w:tcPr>
            <w:tcW w:w="9906" w:type="dxa"/>
            <w:gridSpan w:val="2"/>
            <w:tcBorders>
              <w:top w:val="single" w:sz="12" w:space="0" w:color="000000"/>
              <w:left w:val="single" w:sz="12" w:space="0" w:color="000000"/>
              <w:bottom w:val="single" w:sz="12" w:space="0" w:color="000000"/>
              <w:right w:val="single" w:sz="12" w:space="0" w:color="000000"/>
            </w:tcBorders>
            <w:tcMar>
              <w:top w:w="105" w:type="dxa"/>
              <w:left w:w="105" w:type="dxa"/>
              <w:bottom w:w="105" w:type="dxa"/>
              <w:right w:w="105" w:type="dxa"/>
            </w:tcMar>
          </w:tcPr>
          <w:p w14:paraId="0446F403" w14:textId="77777777" w:rsidR="006957D7" w:rsidRDefault="002D2218">
            <w:pPr>
              <w:spacing w:after="120" w:line="240" w:lineRule="auto"/>
              <w:rPr>
                <w:rFonts w:ascii="Verdana" w:eastAsia="Verdana" w:hAnsi="Verdana" w:cs="Verdana"/>
                <w:b/>
                <w:color w:val="000000"/>
                <w:sz w:val="24"/>
                <w:szCs w:val="24"/>
              </w:rPr>
            </w:pPr>
            <w:r>
              <w:rPr>
                <w:rFonts w:ascii="Verdana" w:eastAsia="Verdana" w:hAnsi="Verdana" w:cs="Verdana"/>
                <w:b/>
                <w:color w:val="000000"/>
                <w:sz w:val="24"/>
                <w:szCs w:val="24"/>
              </w:rPr>
              <w:lastRenderedPageBreak/>
              <w:t>List any known cost factors (fiscal note). Show calculations.</w:t>
            </w:r>
          </w:p>
          <w:p w14:paraId="310BD9DA" w14:textId="77777777" w:rsidR="006957D7" w:rsidRDefault="002D2218">
            <w:pPr>
              <w:spacing w:after="120" w:line="240" w:lineRule="auto"/>
              <w:rPr>
                <w:rFonts w:ascii="Verdana" w:eastAsia="Verdana" w:hAnsi="Verdana" w:cs="Verdana"/>
                <w:color w:val="000000"/>
                <w:shd w:val="clear" w:color="auto" w:fill="E7E6E6"/>
              </w:rPr>
            </w:pPr>
            <w:r>
              <w:rPr>
                <w:rFonts w:ascii="Verdana" w:eastAsia="Verdana" w:hAnsi="Verdana" w:cs="Verdana"/>
                <w:color w:val="000000"/>
                <w:shd w:val="clear" w:color="auto" w:fill="E7E6E6"/>
              </w:rPr>
              <w:t xml:space="preserve">While this is not required, providing cost information can be helpful. </w:t>
            </w:r>
          </w:p>
          <w:p w14:paraId="2EB153F7" w14:textId="77777777" w:rsidR="006957D7" w:rsidRDefault="002D2218">
            <w:pPr>
              <w:numPr>
                <w:ilvl w:val="0"/>
                <w:numId w:val="3"/>
              </w:numPr>
              <w:spacing w:after="0" w:line="240" w:lineRule="auto"/>
              <w:rPr>
                <w:rFonts w:ascii="Verdana" w:eastAsia="Verdana" w:hAnsi="Verdana" w:cs="Verdana"/>
              </w:rPr>
            </w:pPr>
            <w:r>
              <w:rPr>
                <w:rFonts w:ascii="Verdana" w:eastAsia="Verdana" w:hAnsi="Verdana" w:cs="Verdana"/>
              </w:rPr>
              <w:t xml:space="preserve">Cost information remains unknown at this </w:t>
            </w:r>
            <w:proofErr w:type="gramStart"/>
            <w:r>
              <w:rPr>
                <w:rFonts w:ascii="Verdana" w:eastAsia="Verdana" w:hAnsi="Verdana" w:cs="Verdana"/>
              </w:rPr>
              <w:t>time,</w:t>
            </w:r>
            <w:proofErr w:type="gramEnd"/>
            <w:r>
              <w:rPr>
                <w:rFonts w:ascii="Verdana" w:eastAsia="Verdana" w:hAnsi="Verdana" w:cs="Verdana"/>
              </w:rPr>
              <w:t xml:space="preserve"> however, we anticipate the fiscal impact to be small in accordance with the small population. </w:t>
            </w:r>
          </w:p>
          <w:p w14:paraId="63EF076A" w14:textId="77777777" w:rsidR="006957D7" w:rsidRDefault="002D2218">
            <w:pPr>
              <w:numPr>
                <w:ilvl w:val="0"/>
                <w:numId w:val="3"/>
              </w:numPr>
              <w:spacing w:after="120" w:line="240" w:lineRule="auto"/>
              <w:rPr>
                <w:rFonts w:ascii="Verdana" w:eastAsia="Verdana" w:hAnsi="Verdana" w:cs="Verdana"/>
              </w:rPr>
            </w:pPr>
            <w:r>
              <w:rPr>
                <w:rFonts w:ascii="Verdana" w:eastAsia="Verdana" w:hAnsi="Verdana" w:cs="Verdana"/>
              </w:rPr>
              <w:t xml:space="preserve">Providing appropriate support for individuals with PWS would reduce costly emergency interventions, making this change both humane and fiscally responsible. </w:t>
            </w:r>
          </w:p>
        </w:tc>
      </w:tr>
      <w:tr w:rsidR="006957D7" w14:paraId="1E484676" w14:textId="77777777">
        <w:trPr>
          <w:trHeight w:val="1008"/>
        </w:trPr>
        <w:tc>
          <w:tcPr>
            <w:tcW w:w="9906" w:type="dxa"/>
            <w:gridSpan w:val="2"/>
            <w:tcBorders>
              <w:top w:val="single" w:sz="12" w:space="0" w:color="000000"/>
              <w:left w:val="single" w:sz="12" w:space="0" w:color="000000"/>
              <w:bottom w:val="single" w:sz="12" w:space="0" w:color="000000"/>
              <w:right w:val="single" w:sz="12" w:space="0" w:color="000000"/>
            </w:tcBorders>
            <w:tcMar>
              <w:top w:w="105" w:type="dxa"/>
              <w:left w:w="105" w:type="dxa"/>
              <w:bottom w:w="105" w:type="dxa"/>
              <w:right w:w="105" w:type="dxa"/>
            </w:tcMar>
          </w:tcPr>
          <w:p w14:paraId="6440A55A" w14:textId="77777777" w:rsidR="006957D7" w:rsidRDefault="002D2218">
            <w:pPr>
              <w:spacing w:after="120" w:line="240" w:lineRule="auto"/>
              <w:rPr>
                <w:rFonts w:ascii="Times New Roman" w:eastAsia="Times New Roman" w:hAnsi="Times New Roman" w:cs="Times New Roman"/>
                <w:b/>
                <w:sz w:val="48"/>
                <w:szCs w:val="48"/>
              </w:rPr>
            </w:pPr>
            <w:r>
              <w:rPr>
                <w:rFonts w:ascii="Verdana" w:eastAsia="Verdana" w:hAnsi="Verdana" w:cs="Verdana"/>
                <w:b/>
                <w:color w:val="000000"/>
                <w:sz w:val="24"/>
                <w:szCs w:val="24"/>
              </w:rPr>
              <w:t>Link to additional information:</w:t>
            </w:r>
          </w:p>
          <w:p w14:paraId="1F144A29" w14:textId="77777777" w:rsidR="006957D7" w:rsidRDefault="002D2218">
            <w:pPr>
              <w:spacing w:before="60" w:after="60" w:line="240" w:lineRule="auto"/>
              <w:rPr>
                <w:rFonts w:ascii="Verdana" w:eastAsia="Verdana" w:hAnsi="Verdana" w:cs="Verdana"/>
                <w:shd w:val="clear" w:color="auto" w:fill="E7E6E6"/>
              </w:rPr>
            </w:pPr>
            <w:r>
              <w:rPr>
                <w:rFonts w:ascii="Verdana" w:eastAsia="Verdana" w:hAnsi="Verdana" w:cs="Verdana"/>
                <w:shd w:val="clear" w:color="auto" w:fill="E7E6E6"/>
              </w:rPr>
              <w:t>If you are aware of research, state law, rules, news articles or any other relevant background information insert those links.</w:t>
            </w:r>
          </w:p>
          <w:p w14:paraId="686DBFEA" w14:textId="77777777" w:rsidR="006957D7" w:rsidRDefault="002D2218">
            <w:pPr>
              <w:numPr>
                <w:ilvl w:val="0"/>
                <w:numId w:val="1"/>
              </w:numPr>
              <w:shd w:val="clear" w:color="auto" w:fill="FFFFFF"/>
              <w:spacing w:after="0" w:line="276" w:lineRule="auto"/>
              <w:rPr>
                <w:b/>
              </w:rPr>
            </w:pPr>
            <w:r>
              <w:rPr>
                <w:rFonts w:ascii="Verdana" w:eastAsia="Verdana" w:hAnsi="Verdana" w:cs="Verdana"/>
              </w:rPr>
              <w:t xml:space="preserve">In the 83rd Legislature in 2013, Texas lawmakers passed </w:t>
            </w:r>
            <w:hyperlink r:id="rId19">
              <w:r>
                <w:rPr>
                  <w:rFonts w:ascii="Verdana" w:eastAsia="Verdana" w:hAnsi="Verdana" w:cs="Verdana"/>
                  <w:color w:val="1155CC"/>
                  <w:u w:val="single"/>
                </w:rPr>
                <w:t>Senate Bill 7</w:t>
              </w:r>
            </w:hyperlink>
            <w:r>
              <w:rPr>
                <w:rFonts w:ascii="Verdana" w:eastAsia="Verdana" w:hAnsi="Verdana" w:cs="Verdana"/>
              </w:rPr>
              <w:t>, which included a requirement for HHSC to conduct a study to identify the unique needs of individuals with PWS and the programs available to them.</w:t>
            </w:r>
            <w:r>
              <w:rPr>
                <w:rFonts w:ascii="Verdana" w:eastAsia="Verdana" w:hAnsi="Verdana" w:cs="Verdana"/>
                <w:b/>
                <w:i/>
              </w:rPr>
              <w:t xml:space="preserve"> </w:t>
            </w:r>
            <w:r>
              <w:rPr>
                <w:rFonts w:ascii="Verdana" w:eastAsia="Verdana" w:hAnsi="Verdana" w:cs="Verdana"/>
              </w:rPr>
              <w:t>The study, which HHSC completed in 2014, is attached to this email.</w:t>
            </w:r>
          </w:p>
          <w:p w14:paraId="5568569D" w14:textId="77777777" w:rsidR="006957D7" w:rsidRDefault="002D2218">
            <w:pPr>
              <w:numPr>
                <w:ilvl w:val="0"/>
                <w:numId w:val="1"/>
              </w:numPr>
              <w:shd w:val="clear" w:color="auto" w:fill="FFFFFF"/>
              <w:spacing w:after="0" w:line="276" w:lineRule="auto"/>
              <w:rPr>
                <w:rFonts w:ascii="Verdana" w:eastAsia="Verdana" w:hAnsi="Verdana" w:cs="Verdana"/>
                <w:b/>
              </w:rPr>
            </w:pPr>
            <w:r>
              <w:rPr>
                <w:rFonts w:ascii="Verdana" w:eastAsia="Verdana" w:hAnsi="Verdana" w:cs="Verdana"/>
              </w:rPr>
              <w:t xml:space="preserve">In 2019, Texas HHSC announced changes to the ICD-10 </w:t>
            </w:r>
            <w:hyperlink r:id="rId20">
              <w:r>
                <w:rPr>
                  <w:rFonts w:ascii="Verdana" w:eastAsia="Verdana" w:hAnsi="Verdana" w:cs="Verdana"/>
                  <w:color w:val="1155CC"/>
                  <w:u w:val="single"/>
                </w:rPr>
                <w:t>related conditions</w:t>
              </w:r>
            </w:hyperlink>
            <w:r>
              <w:rPr>
                <w:rFonts w:ascii="Verdana" w:eastAsia="Verdana" w:hAnsi="Verdana" w:cs="Verdana"/>
              </w:rPr>
              <w:t xml:space="preserve"> list to include Prader-Willi Syndrome (Code Q87.11), allowing individuals with PWS displaying self-injurious behavior to be assigned to a higher LON category (see LON definition </w:t>
            </w:r>
            <w:hyperlink r:id="rId21" w:anchor=":~:text=(65)%20Level%20of%20need%20(,skills%20and%20socialization%20is%20based.">
              <w:r>
                <w:rPr>
                  <w:rFonts w:ascii="Verdana" w:eastAsia="Verdana" w:hAnsi="Verdana" w:cs="Verdana"/>
                  <w:color w:val="1155CC"/>
                  <w:u w:val="single"/>
                </w:rPr>
                <w:t>here</w:t>
              </w:r>
            </w:hyperlink>
            <w:r>
              <w:rPr>
                <w:rFonts w:ascii="Verdana" w:eastAsia="Verdana" w:hAnsi="Verdana" w:cs="Verdana"/>
              </w:rPr>
              <w:t xml:space="preserve">). </w:t>
            </w:r>
          </w:p>
          <w:p w14:paraId="1ECFA060" w14:textId="77777777" w:rsidR="006957D7" w:rsidRDefault="002D2218">
            <w:pPr>
              <w:numPr>
                <w:ilvl w:val="0"/>
                <w:numId w:val="1"/>
              </w:numPr>
              <w:shd w:val="clear" w:color="auto" w:fill="FFFFFF"/>
              <w:spacing w:after="0" w:line="276" w:lineRule="auto"/>
              <w:rPr>
                <w:rFonts w:ascii="Verdana" w:eastAsia="Verdana" w:hAnsi="Verdana" w:cs="Verdana"/>
                <w:b/>
              </w:rPr>
            </w:pPr>
            <w:r>
              <w:rPr>
                <w:rFonts w:ascii="Verdana" w:eastAsia="Verdana" w:hAnsi="Verdana" w:cs="Verdana"/>
              </w:rPr>
              <w:t>In 2020, Governor Abbott declared the month of May as Prader-Willi Awareness Month in Texas (attached).</w:t>
            </w:r>
          </w:p>
        </w:tc>
      </w:tr>
      <w:tr w:rsidR="006957D7" w14:paraId="2151F6F4" w14:textId="77777777">
        <w:trPr>
          <w:trHeight w:val="837"/>
        </w:trPr>
        <w:tc>
          <w:tcPr>
            <w:tcW w:w="9906" w:type="dxa"/>
            <w:gridSpan w:val="2"/>
            <w:tcBorders>
              <w:top w:val="single" w:sz="12" w:space="0" w:color="000000"/>
              <w:left w:val="single" w:sz="12" w:space="0" w:color="000000"/>
              <w:bottom w:val="single" w:sz="12" w:space="0" w:color="000000"/>
              <w:right w:val="single" w:sz="12" w:space="0" w:color="000000"/>
            </w:tcBorders>
            <w:tcMar>
              <w:top w:w="105" w:type="dxa"/>
              <w:left w:w="105" w:type="dxa"/>
              <w:bottom w:w="105" w:type="dxa"/>
              <w:right w:w="105" w:type="dxa"/>
            </w:tcMar>
          </w:tcPr>
          <w:p w14:paraId="55C3F090" w14:textId="77777777" w:rsidR="006957D7" w:rsidRDefault="002D2218">
            <w:pPr>
              <w:spacing w:after="60" w:line="240" w:lineRule="auto"/>
              <w:rPr>
                <w:rFonts w:ascii="Verdana" w:eastAsia="Verdana" w:hAnsi="Verdana" w:cs="Verdana"/>
                <w:b/>
                <w:color w:val="000000"/>
                <w:sz w:val="24"/>
                <w:szCs w:val="24"/>
              </w:rPr>
            </w:pPr>
            <w:r>
              <w:rPr>
                <w:rFonts w:ascii="Verdana" w:eastAsia="Verdana" w:hAnsi="Verdana" w:cs="Verdana"/>
                <w:b/>
                <w:color w:val="000000"/>
                <w:sz w:val="24"/>
                <w:szCs w:val="24"/>
              </w:rPr>
              <w:t>State agency(ies) affected by proposal:</w:t>
            </w:r>
          </w:p>
          <w:p w14:paraId="58F09A07" w14:textId="77777777" w:rsidR="006957D7" w:rsidRDefault="002D2218">
            <w:pPr>
              <w:numPr>
                <w:ilvl w:val="0"/>
                <w:numId w:val="7"/>
              </w:numPr>
              <w:pBdr>
                <w:top w:val="nil"/>
                <w:left w:val="nil"/>
                <w:bottom w:val="nil"/>
                <w:right w:val="nil"/>
                <w:between w:val="nil"/>
              </w:pBdr>
              <w:spacing w:before="60" w:after="60" w:line="240" w:lineRule="auto"/>
              <w:rPr>
                <w:rFonts w:ascii="Verdana" w:eastAsia="Verdana" w:hAnsi="Verdana" w:cs="Verdana"/>
              </w:rPr>
            </w:pPr>
            <w:r>
              <w:rPr>
                <w:rFonts w:ascii="Verdana" w:eastAsia="Verdana" w:hAnsi="Verdana" w:cs="Verdana"/>
              </w:rPr>
              <w:t>Texas Health and Human Services Commission</w:t>
            </w:r>
          </w:p>
        </w:tc>
      </w:tr>
      <w:tr w:rsidR="006957D7" w14:paraId="19930E7F" w14:textId="77777777">
        <w:trPr>
          <w:trHeight w:val="918"/>
        </w:trPr>
        <w:tc>
          <w:tcPr>
            <w:tcW w:w="9906" w:type="dxa"/>
            <w:gridSpan w:val="2"/>
            <w:tcBorders>
              <w:top w:val="single" w:sz="12" w:space="0" w:color="000000"/>
              <w:left w:val="single" w:sz="12" w:space="0" w:color="000000"/>
              <w:bottom w:val="single" w:sz="12" w:space="0" w:color="000000"/>
              <w:right w:val="single" w:sz="12" w:space="0" w:color="000000"/>
            </w:tcBorders>
            <w:tcMar>
              <w:top w:w="105" w:type="dxa"/>
              <w:left w:w="105" w:type="dxa"/>
              <w:bottom w:w="105" w:type="dxa"/>
              <w:right w:w="105" w:type="dxa"/>
            </w:tcMar>
          </w:tcPr>
          <w:p w14:paraId="607BC482" w14:textId="77777777" w:rsidR="006957D7" w:rsidRDefault="002D2218">
            <w:pPr>
              <w:spacing w:after="60" w:line="240" w:lineRule="auto"/>
              <w:rPr>
                <w:rFonts w:ascii="Times New Roman" w:eastAsia="Times New Roman" w:hAnsi="Times New Roman" w:cs="Times New Roman"/>
                <w:b/>
                <w:sz w:val="48"/>
                <w:szCs w:val="48"/>
              </w:rPr>
            </w:pPr>
            <w:r>
              <w:rPr>
                <w:rFonts w:ascii="Verdana" w:eastAsia="Verdana" w:hAnsi="Verdana" w:cs="Verdana"/>
                <w:b/>
                <w:color w:val="000000"/>
                <w:sz w:val="24"/>
                <w:szCs w:val="24"/>
              </w:rPr>
              <w:t>Stakeholder groups likely to support this proposal:</w:t>
            </w:r>
          </w:p>
          <w:p w14:paraId="072E8F37" w14:textId="77777777" w:rsidR="006957D7" w:rsidRDefault="002D2218">
            <w:pPr>
              <w:numPr>
                <w:ilvl w:val="0"/>
                <w:numId w:val="6"/>
              </w:numPr>
              <w:spacing w:before="60" w:after="60" w:line="276" w:lineRule="auto"/>
              <w:rPr>
                <w:rFonts w:ascii="Verdana" w:eastAsia="Verdana" w:hAnsi="Verdana" w:cs="Verdana"/>
              </w:rPr>
            </w:pPr>
            <w:r>
              <w:rPr>
                <w:rFonts w:ascii="Verdana" w:eastAsia="Verdana" w:hAnsi="Verdana" w:cs="Verdana"/>
              </w:rPr>
              <w:t>Texas Prader-Willi Association</w:t>
            </w:r>
          </w:p>
          <w:p w14:paraId="2038D83F" w14:textId="77777777" w:rsidR="006957D7" w:rsidRDefault="002D2218">
            <w:pPr>
              <w:numPr>
                <w:ilvl w:val="0"/>
                <w:numId w:val="6"/>
              </w:numPr>
              <w:pBdr>
                <w:top w:val="nil"/>
                <w:left w:val="nil"/>
                <w:bottom w:val="nil"/>
                <w:right w:val="nil"/>
                <w:between w:val="nil"/>
              </w:pBdr>
              <w:spacing w:after="120" w:line="276" w:lineRule="auto"/>
              <w:rPr>
                <w:rFonts w:ascii="Verdana" w:eastAsia="Verdana" w:hAnsi="Verdana" w:cs="Verdana"/>
                <w:b/>
                <w:sz w:val="24"/>
                <w:szCs w:val="24"/>
              </w:rPr>
            </w:pPr>
            <w:r>
              <w:rPr>
                <w:rFonts w:ascii="Verdana" w:eastAsia="Verdana" w:hAnsi="Verdana" w:cs="Verdana"/>
              </w:rPr>
              <w:t>PWSA|USA</w:t>
            </w:r>
          </w:p>
          <w:p w14:paraId="3FCCA342" w14:textId="77777777" w:rsidR="006957D7" w:rsidRDefault="002D2218">
            <w:pPr>
              <w:numPr>
                <w:ilvl w:val="0"/>
                <w:numId w:val="6"/>
              </w:numPr>
              <w:pBdr>
                <w:top w:val="nil"/>
                <w:left w:val="nil"/>
                <w:bottom w:val="nil"/>
                <w:right w:val="nil"/>
                <w:between w:val="nil"/>
              </w:pBdr>
              <w:spacing w:after="120" w:line="276" w:lineRule="auto"/>
              <w:rPr>
                <w:rFonts w:ascii="Verdana" w:eastAsia="Verdana" w:hAnsi="Verdana" w:cs="Verdana"/>
              </w:rPr>
            </w:pPr>
            <w:r>
              <w:rPr>
                <w:rFonts w:ascii="Verdana" w:eastAsia="Verdana" w:hAnsi="Verdana" w:cs="Verdana"/>
              </w:rPr>
              <w:t>Foundation for Prader-Willi Research</w:t>
            </w:r>
          </w:p>
          <w:p w14:paraId="289FE190" w14:textId="77777777" w:rsidR="006957D7" w:rsidRDefault="002D2218">
            <w:pPr>
              <w:numPr>
                <w:ilvl w:val="0"/>
                <w:numId w:val="6"/>
              </w:numPr>
              <w:pBdr>
                <w:top w:val="nil"/>
                <w:left w:val="nil"/>
                <w:bottom w:val="nil"/>
                <w:right w:val="nil"/>
                <w:between w:val="nil"/>
              </w:pBdr>
              <w:spacing w:after="120" w:line="276" w:lineRule="auto"/>
              <w:rPr>
                <w:rFonts w:ascii="Verdana" w:eastAsia="Verdana" w:hAnsi="Verdana" w:cs="Verdana"/>
              </w:rPr>
            </w:pPr>
            <w:r>
              <w:rPr>
                <w:rFonts w:ascii="Verdana" w:eastAsia="Verdana" w:hAnsi="Verdana" w:cs="Verdana"/>
              </w:rPr>
              <w:t>Nexus Children’s Hospital</w:t>
            </w:r>
          </w:p>
          <w:p w14:paraId="189D08D6" w14:textId="77777777" w:rsidR="006957D7" w:rsidRDefault="002D2218">
            <w:pPr>
              <w:numPr>
                <w:ilvl w:val="0"/>
                <w:numId w:val="6"/>
              </w:numPr>
              <w:pBdr>
                <w:top w:val="nil"/>
                <w:left w:val="nil"/>
                <w:bottom w:val="nil"/>
                <w:right w:val="nil"/>
                <w:between w:val="nil"/>
              </w:pBdr>
              <w:spacing w:after="120" w:line="276" w:lineRule="auto"/>
              <w:rPr>
                <w:rFonts w:ascii="Verdana" w:eastAsia="Verdana" w:hAnsi="Verdana" w:cs="Verdana"/>
              </w:rPr>
            </w:pPr>
            <w:r>
              <w:rPr>
                <w:rFonts w:ascii="Verdana" w:eastAsia="Verdana" w:hAnsi="Verdana" w:cs="Verdana"/>
              </w:rPr>
              <w:t xml:space="preserve">The Company of </w:t>
            </w:r>
            <w:proofErr w:type="spellStart"/>
            <w:r>
              <w:rPr>
                <w:rFonts w:ascii="Verdana" w:eastAsia="Verdana" w:hAnsi="Verdana" w:cs="Verdana"/>
              </w:rPr>
              <w:t>Rockhouse</w:t>
            </w:r>
            <w:proofErr w:type="spellEnd"/>
          </w:p>
          <w:p w14:paraId="5B68C412" w14:textId="77777777" w:rsidR="006957D7" w:rsidRDefault="002D2218">
            <w:pPr>
              <w:numPr>
                <w:ilvl w:val="0"/>
                <w:numId w:val="6"/>
              </w:numPr>
              <w:pBdr>
                <w:top w:val="nil"/>
                <w:left w:val="nil"/>
                <w:bottom w:val="nil"/>
                <w:right w:val="nil"/>
                <w:between w:val="nil"/>
              </w:pBdr>
              <w:spacing w:after="120" w:line="276" w:lineRule="auto"/>
              <w:rPr>
                <w:rFonts w:ascii="Verdana" w:eastAsia="Verdana" w:hAnsi="Verdana" w:cs="Verdana"/>
              </w:rPr>
            </w:pPr>
            <w:r>
              <w:rPr>
                <w:rFonts w:ascii="Verdana" w:eastAsia="Verdana" w:hAnsi="Verdana" w:cs="Verdana"/>
              </w:rPr>
              <w:t>Caregiver, Inc.</w:t>
            </w:r>
          </w:p>
          <w:p w14:paraId="5D36C792" w14:textId="77777777" w:rsidR="006957D7" w:rsidRDefault="002D2218">
            <w:pPr>
              <w:numPr>
                <w:ilvl w:val="0"/>
                <w:numId w:val="6"/>
              </w:numPr>
              <w:pBdr>
                <w:top w:val="nil"/>
                <w:left w:val="nil"/>
                <w:bottom w:val="nil"/>
                <w:right w:val="nil"/>
                <w:between w:val="nil"/>
              </w:pBdr>
              <w:spacing w:after="120" w:line="276" w:lineRule="auto"/>
              <w:rPr>
                <w:rFonts w:ascii="Verdana" w:eastAsia="Verdana" w:hAnsi="Verdana" w:cs="Verdana"/>
              </w:rPr>
            </w:pPr>
            <w:r>
              <w:rPr>
                <w:rFonts w:ascii="Verdana" w:eastAsia="Verdana" w:hAnsi="Verdana" w:cs="Verdana"/>
              </w:rPr>
              <w:t xml:space="preserve">A </w:t>
            </w:r>
            <w:proofErr w:type="spellStart"/>
            <w:r>
              <w:rPr>
                <w:rFonts w:ascii="Verdana" w:eastAsia="Verdana" w:hAnsi="Verdana" w:cs="Verdana"/>
              </w:rPr>
              <w:t>Karing</w:t>
            </w:r>
            <w:proofErr w:type="spellEnd"/>
            <w:r>
              <w:rPr>
                <w:rFonts w:ascii="Verdana" w:eastAsia="Verdana" w:hAnsi="Verdana" w:cs="Verdana"/>
              </w:rPr>
              <w:t xml:space="preserve"> </w:t>
            </w:r>
            <w:proofErr w:type="spellStart"/>
            <w:r>
              <w:rPr>
                <w:rFonts w:ascii="Verdana" w:eastAsia="Verdana" w:hAnsi="Verdana" w:cs="Verdana"/>
              </w:rPr>
              <w:t>Konnection</w:t>
            </w:r>
            <w:proofErr w:type="spellEnd"/>
          </w:p>
        </w:tc>
      </w:tr>
      <w:tr w:rsidR="006957D7" w14:paraId="125F2851" w14:textId="77777777">
        <w:trPr>
          <w:trHeight w:val="1035"/>
        </w:trPr>
        <w:tc>
          <w:tcPr>
            <w:tcW w:w="9906" w:type="dxa"/>
            <w:gridSpan w:val="2"/>
            <w:tcBorders>
              <w:top w:val="single" w:sz="12" w:space="0" w:color="000000"/>
              <w:left w:val="single" w:sz="12" w:space="0" w:color="000000"/>
              <w:bottom w:val="single" w:sz="12" w:space="0" w:color="000000"/>
              <w:right w:val="single" w:sz="12" w:space="0" w:color="000000"/>
            </w:tcBorders>
            <w:tcMar>
              <w:top w:w="105" w:type="dxa"/>
              <w:left w:w="105" w:type="dxa"/>
              <w:bottom w:w="105" w:type="dxa"/>
              <w:right w:w="105" w:type="dxa"/>
            </w:tcMar>
          </w:tcPr>
          <w:p w14:paraId="399FEB8A" w14:textId="77777777" w:rsidR="006957D7" w:rsidRDefault="002D2218">
            <w:pPr>
              <w:spacing w:after="60" w:line="240" w:lineRule="auto"/>
              <w:rPr>
                <w:rFonts w:ascii="Verdana" w:eastAsia="Verdana" w:hAnsi="Verdana" w:cs="Verdana"/>
                <w:b/>
                <w:color w:val="000000"/>
                <w:sz w:val="24"/>
                <w:szCs w:val="24"/>
              </w:rPr>
            </w:pPr>
            <w:r>
              <w:rPr>
                <w:rFonts w:ascii="Verdana" w:eastAsia="Verdana" w:hAnsi="Verdana" w:cs="Verdana"/>
                <w:b/>
                <w:color w:val="000000"/>
                <w:sz w:val="24"/>
                <w:szCs w:val="24"/>
              </w:rPr>
              <w:lastRenderedPageBreak/>
              <w:t xml:space="preserve">Stakeholder groups likely to oppose this proposal: </w:t>
            </w:r>
          </w:p>
          <w:p w14:paraId="471BD8F6" w14:textId="77777777" w:rsidR="006957D7" w:rsidRDefault="002D2218">
            <w:pPr>
              <w:numPr>
                <w:ilvl w:val="0"/>
                <w:numId w:val="6"/>
              </w:numPr>
              <w:spacing w:before="60" w:after="60" w:line="240" w:lineRule="auto"/>
              <w:rPr>
                <w:rFonts w:ascii="Verdana" w:eastAsia="Verdana" w:hAnsi="Verdana" w:cs="Verdana"/>
              </w:rPr>
            </w:pPr>
            <w:r>
              <w:rPr>
                <w:rFonts w:ascii="Verdana" w:eastAsia="Verdana" w:hAnsi="Verdana" w:cs="Verdana"/>
              </w:rPr>
              <w:t>We are not aware of any stakeholder groups who are likely to oppose this proposal.</w:t>
            </w:r>
          </w:p>
        </w:tc>
      </w:tr>
      <w:tr w:rsidR="006957D7" w14:paraId="4C6B89AE" w14:textId="77777777">
        <w:trPr>
          <w:trHeight w:val="1305"/>
        </w:trPr>
        <w:tc>
          <w:tcPr>
            <w:tcW w:w="9906" w:type="dxa"/>
            <w:gridSpan w:val="2"/>
            <w:tcBorders>
              <w:top w:val="single" w:sz="12" w:space="0" w:color="000000"/>
              <w:left w:val="single" w:sz="12" w:space="0" w:color="000000"/>
              <w:bottom w:val="single" w:sz="12" w:space="0" w:color="000000"/>
              <w:right w:val="single" w:sz="12" w:space="0" w:color="000000"/>
            </w:tcBorders>
            <w:tcMar>
              <w:top w:w="105" w:type="dxa"/>
              <w:left w:w="105" w:type="dxa"/>
              <w:bottom w:w="105" w:type="dxa"/>
              <w:right w:w="105" w:type="dxa"/>
            </w:tcMar>
          </w:tcPr>
          <w:p w14:paraId="679A61D2" w14:textId="77777777" w:rsidR="006957D7" w:rsidRDefault="002D2218">
            <w:pPr>
              <w:spacing w:after="120" w:line="240" w:lineRule="auto"/>
              <w:rPr>
                <w:rFonts w:ascii="Verdana" w:eastAsia="Verdana" w:hAnsi="Verdana" w:cs="Verdana"/>
                <w:b/>
                <w:color w:val="000000"/>
                <w:sz w:val="24"/>
                <w:szCs w:val="24"/>
              </w:rPr>
            </w:pPr>
            <w:r>
              <w:rPr>
                <w:rFonts w:ascii="Verdana" w:eastAsia="Verdana" w:hAnsi="Verdana" w:cs="Verdana"/>
                <w:b/>
                <w:color w:val="000000"/>
                <w:sz w:val="24"/>
                <w:szCs w:val="24"/>
              </w:rPr>
              <w:t>Describe how affected groups will be impacted by proposed solution(s) (i.e., cities, counties, businesses, employers, etc.):</w:t>
            </w:r>
          </w:p>
          <w:p w14:paraId="28A7B08C" w14:textId="77777777" w:rsidR="006957D7" w:rsidRDefault="002D2218">
            <w:pPr>
              <w:numPr>
                <w:ilvl w:val="0"/>
                <w:numId w:val="8"/>
              </w:numPr>
              <w:tabs>
                <w:tab w:val="left" w:pos="1259"/>
              </w:tabs>
              <w:spacing w:after="0"/>
              <w:rPr>
                <w:rFonts w:ascii="Verdana" w:eastAsia="Verdana" w:hAnsi="Verdana" w:cs="Verdana"/>
              </w:rPr>
            </w:pPr>
            <w:r>
              <w:rPr>
                <w:rFonts w:ascii="Verdana" w:eastAsia="Verdana" w:hAnsi="Verdana" w:cs="Verdana"/>
              </w:rPr>
              <w:t>This proposal is critical because it seeks to address these systemic gaps and inequities. By emphasizing the unique and life-threatening nature of PWS, the proposal will ensure that individuals with PWS can access the disability benefits and services they desperately need—without being disqualified by inappropriate and harmful IQ criteria. It addresses the urgent need for a more accurate assessment of the risks and challenges faced by the PWS community, ensuring that eligibility for support reflects the tru</w:t>
            </w:r>
            <w:r>
              <w:rPr>
                <w:rFonts w:ascii="Verdana" w:eastAsia="Verdana" w:hAnsi="Verdana" w:cs="Verdana"/>
              </w:rPr>
              <w:t>e severity of this disorder, which can turn the most basic human need—food—into a fatal threat.</w:t>
            </w:r>
          </w:p>
          <w:p w14:paraId="442CBCFB" w14:textId="77777777" w:rsidR="006957D7" w:rsidRDefault="002D2218">
            <w:pPr>
              <w:numPr>
                <w:ilvl w:val="0"/>
                <w:numId w:val="8"/>
              </w:numPr>
              <w:tabs>
                <w:tab w:val="left" w:pos="1259"/>
              </w:tabs>
              <w:spacing w:after="0"/>
              <w:rPr>
                <w:rFonts w:ascii="Verdana" w:eastAsia="Verdana" w:hAnsi="Verdana" w:cs="Verdana"/>
              </w:rPr>
            </w:pPr>
            <w:r>
              <w:rPr>
                <w:rFonts w:ascii="Verdana" w:eastAsia="Verdana" w:hAnsi="Verdana" w:cs="Verdana"/>
              </w:rPr>
              <w:t>The proposal would reduce the administrative burden on HHSC staff as they would not need to administer and review IQ tests for applications of individuals with PWS to waiver programs.</w:t>
            </w:r>
          </w:p>
          <w:p w14:paraId="035AC606" w14:textId="77777777" w:rsidR="006957D7" w:rsidRDefault="002D2218">
            <w:pPr>
              <w:numPr>
                <w:ilvl w:val="0"/>
                <w:numId w:val="8"/>
              </w:numPr>
              <w:tabs>
                <w:tab w:val="left" w:pos="1259"/>
              </w:tabs>
              <w:rPr>
                <w:rFonts w:ascii="Verdana" w:eastAsia="Verdana" w:hAnsi="Verdana" w:cs="Verdana"/>
              </w:rPr>
            </w:pPr>
            <w:r>
              <w:rPr>
                <w:rFonts w:ascii="Verdana" w:eastAsia="Verdana" w:hAnsi="Verdana" w:cs="Verdana"/>
              </w:rPr>
              <w:t>By ensuring appropriate access to waiver services, the proposal would also reduce state costly emergency interventions for individuals with PWS.</w:t>
            </w:r>
          </w:p>
        </w:tc>
      </w:tr>
      <w:tr w:rsidR="006957D7" w14:paraId="56040BD2" w14:textId="77777777">
        <w:trPr>
          <w:trHeight w:val="1296"/>
        </w:trPr>
        <w:tc>
          <w:tcPr>
            <w:tcW w:w="9906" w:type="dxa"/>
            <w:gridSpan w:val="2"/>
            <w:tcBorders>
              <w:top w:val="single" w:sz="12" w:space="0" w:color="000000"/>
              <w:left w:val="single" w:sz="12" w:space="0" w:color="000000"/>
              <w:bottom w:val="single" w:sz="12" w:space="0" w:color="000000"/>
              <w:right w:val="single" w:sz="12" w:space="0" w:color="000000"/>
            </w:tcBorders>
            <w:tcMar>
              <w:top w:w="105" w:type="dxa"/>
              <w:left w:w="105" w:type="dxa"/>
              <w:bottom w:w="105" w:type="dxa"/>
              <w:right w:w="105" w:type="dxa"/>
            </w:tcMar>
          </w:tcPr>
          <w:p w14:paraId="548DA636" w14:textId="77777777" w:rsidR="006957D7" w:rsidRDefault="002D2218">
            <w:pPr>
              <w:spacing w:after="60" w:line="240" w:lineRule="auto"/>
              <w:rPr>
                <w:rFonts w:ascii="Times New Roman" w:eastAsia="Times New Roman" w:hAnsi="Times New Roman" w:cs="Times New Roman"/>
                <w:b/>
                <w:sz w:val="48"/>
                <w:szCs w:val="48"/>
              </w:rPr>
            </w:pPr>
            <w:r>
              <w:rPr>
                <w:rFonts w:ascii="Verdana" w:eastAsia="Verdana" w:hAnsi="Verdana" w:cs="Verdana"/>
                <w:b/>
                <w:color w:val="000000"/>
                <w:sz w:val="24"/>
                <w:szCs w:val="24"/>
              </w:rPr>
              <w:t>The policy proposal will require a change in:</w:t>
            </w:r>
          </w:p>
          <w:p w14:paraId="592E42D4" w14:textId="77777777" w:rsidR="006957D7" w:rsidRDefault="002D2218">
            <w:pPr>
              <w:spacing w:after="60" w:line="240" w:lineRule="auto"/>
              <w:ind w:right="-264"/>
              <w:rPr>
                <w:rFonts w:ascii="Verdana" w:eastAsia="Verdana" w:hAnsi="Verdana" w:cs="Verdana"/>
                <w:b/>
                <w:color w:val="000000"/>
                <w:highlight w:val="yellow"/>
              </w:rPr>
            </w:pPr>
            <w:r>
              <w:rPr>
                <w:rFonts w:ascii="Verdana" w:eastAsia="Verdana" w:hAnsi="Verdana" w:cs="Verdana"/>
                <w:b/>
                <w:color w:val="000000"/>
                <w:highlight w:val="yellow"/>
              </w:rPr>
              <w:t xml:space="preserve">Administrative Policy </w:t>
            </w:r>
            <w:r>
              <w:rPr>
                <w:rFonts w:ascii="MS Gothic" w:eastAsia="MS Gothic" w:hAnsi="MS Gothic" w:cs="MS Gothic"/>
                <w:b/>
                <w:color w:val="000000"/>
                <w:highlight w:val="yellow"/>
              </w:rPr>
              <w:t>☐</w:t>
            </w:r>
            <w:r>
              <w:rPr>
                <w:rFonts w:ascii="Verdana" w:eastAsia="Verdana" w:hAnsi="Verdana" w:cs="Verdana"/>
                <w:b/>
                <w:color w:val="000000"/>
                <w:highlight w:val="yellow"/>
              </w:rPr>
              <w:t> </w:t>
            </w:r>
            <w:r>
              <w:rPr>
                <w:rFonts w:ascii="Verdana" w:eastAsia="Verdana" w:hAnsi="Verdana" w:cs="Verdana"/>
                <w:b/>
                <w:color w:val="000000"/>
              </w:rPr>
              <w:t xml:space="preserve">Agency Rule </w:t>
            </w:r>
            <w:r>
              <w:rPr>
                <w:rFonts w:ascii="MS Gothic" w:eastAsia="MS Gothic" w:hAnsi="MS Gothic" w:cs="MS Gothic"/>
                <w:b/>
                <w:color w:val="000000"/>
                <w:shd w:val="clear" w:color="auto" w:fill="E7E6E6"/>
              </w:rPr>
              <w:t>☐</w:t>
            </w:r>
            <w:r>
              <w:rPr>
                <w:rFonts w:ascii="Verdana" w:eastAsia="Verdana" w:hAnsi="Verdana" w:cs="Verdana"/>
                <w:b/>
                <w:color w:val="000000"/>
              </w:rPr>
              <w:t xml:space="preserve">   </w:t>
            </w:r>
            <w:r>
              <w:rPr>
                <w:rFonts w:ascii="Verdana" w:eastAsia="Verdana" w:hAnsi="Verdana" w:cs="Verdana"/>
                <w:b/>
                <w:color w:val="000000"/>
                <w:highlight w:val="yellow"/>
              </w:rPr>
              <w:t xml:space="preserve">State </w:t>
            </w:r>
            <w:proofErr w:type="gramStart"/>
            <w:r>
              <w:rPr>
                <w:rFonts w:ascii="Verdana" w:eastAsia="Verdana" w:hAnsi="Verdana" w:cs="Verdana"/>
                <w:b/>
                <w:color w:val="000000"/>
                <w:highlight w:val="yellow"/>
              </w:rPr>
              <w:t xml:space="preserve">Law  </w:t>
            </w:r>
            <w:r>
              <w:rPr>
                <w:rFonts w:ascii="MS Gothic" w:eastAsia="MS Gothic" w:hAnsi="MS Gothic" w:cs="MS Gothic"/>
                <w:b/>
                <w:color w:val="000000"/>
                <w:highlight w:val="yellow"/>
              </w:rPr>
              <w:t>☐</w:t>
            </w:r>
            <w:proofErr w:type="gramEnd"/>
          </w:p>
          <w:p w14:paraId="5EC6975B" w14:textId="77777777" w:rsidR="006957D7" w:rsidRDefault="002D2218">
            <w:pPr>
              <w:spacing w:after="240" w:line="240" w:lineRule="auto"/>
              <w:ind w:right="-259"/>
              <w:rPr>
                <w:rFonts w:ascii="Times New Roman" w:eastAsia="Times New Roman" w:hAnsi="Times New Roman" w:cs="Times New Roman"/>
                <w:b/>
              </w:rPr>
            </w:pPr>
            <w:r>
              <w:rPr>
                <w:rFonts w:ascii="Verdana" w:eastAsia="Verdana" w:hAnsi="Verdana" w:cs="Verdana"/>
                <w:b/>
                <w:color w:val="000000"/>
              </w:rPr>
              <w:t xml:space="preserve">New Law </w:t>
            </w:r>
            <w:proofErr w:type="gramStart"/>
            <w:r>
              <w:rPr>
                <w:rFonts w:ascii="MS Gothic" w:eastAsia="MS Gothic" w:hAnsi="MS Gothic" w:cs="MS Gothic"/>
                <w:b/>
                <w:color w:val="000000"/>
                <w:shd w:val="clear" w:color="auto" w:fill="E7E6E6"/>
              </w:rPr>
              <w:t>☐</w:t>
            </w:r>
            <w:r>
              <w:rPr>
                <w:rFonts w:ascii="Times New Roman" w:eastAsia="Times New Roman" w:hAnsi="Times New Roman" w:cs="Times New Roman"/>
                <w:b/>
              </w:rPr>
              <w:t xml:space="preserve">  </w:t>
            </w:r>
            <w:r>
              <w:rPr>
                <w:rFonts w:ascii="Verdana" w:eastAsia="Verdana" w:hAnsi="Verdana" w:cs="Verdana"/>
                <w:b/>
                <w:color w:val="000000"/>
              </w:rPr>
              <w:t>Other</w:t>
            </w:r>
            <w:proofErr w:type="gramEnd"/>
            <w:r>
              <w:rPr>
                <w:rFonts w:ascii="Verdana" w:eastAsia="Verdana" w:hAnsi="Verdana" w:cs="Verdana"/>
                <w:b/>
                <w:color w:val="000000"/>
              </w:rPr>
              <w:t xml:space="preserve"> (e.g. public awareness campaign, etc.) </w:t>
            </w:r>
            <w:r>
              <w:rPr>
                <w:rFonts w:ascii="MS Gothic" w:eastAsia="MS Gothic" w:hAnsi="MS Gothic" w:cs="MS Gothic"/>
                <w:b/>
                <w:color w:val="000000"/>
                <w:shd w:val="clear" w:color="auto" w:fill="E7E6E6"/>
              </w:rPr>
              <w:t>☐</w:t>
            </w:r>
          </w:p>
          <w:p w14:paraId="03A95DD2" w14:textId="77777777" w:rsidR="006957D7" w:rsidRDefault="002D2218">
            <w:pPr>
              <w:spacing w:before="60" w:after="60" w:line="240" w:lineRule="auto"/>
              <w:rPr>
                <w:rFonts w:ascii="Verdana" w:eastAsia="Verdana" w:hAnsi="Verdana" w:cs="Verdana"/>
                <w:sz w:val="24"/>
                <w:szCs w:val="24"/>
              </w:rPr>
            </w:pPr>
            <w:r>
              <w:rPr>
                <w:rFonts w:ascii="Verdana" w:eastAsia="Verdana" w:hAnsi="Verdana" w:cs="Verdana"/>
                <w:b/>
                <w:color w:val="000000"/>
                <w:sz w:val="24"/>
                <w:szCs w:val="24"/>
              </w:rPr>
              <w:t>Link</w:t>
            </w:r>
            <w:r>
              <w:rPr>
                <w:rFonts w:ascii="Verdana" w:eastAsia="Verdana" w:hAnsi="Verdana" w:cs="Verdana"/>
                <w:color w:val="000000"/>
                <w:sz w:val="24"/>
                <w:szCs w:val="24"/>
              </w:rPr>
              <w:t xml:space="preserve">: </w:t>
            </w:r>
            <w:r>
              <w:rPr>
                <w:rFonts w:ascii="Verdana" w:eastAsia="Verdana" w:hAnsi="Verdana" w:cs="Verdana"/>
                <w:color w:val="000000"/>
                <w:sz w:val="24"/>
                <w:szCs w:val="24"/>
                <w:shd w:val="clear" w:color="auto" w:fill="E7E6E6"/>
              </w:rPr>
              <w:t>If it requires a change in agency rule or state law, link to the rule or law</w:t>
            </w:r>
            <w:r>
              <w:rPr>
                <w:rFonts w:ascii="Verdana" w:eastAsia="Verdana" w:hAnsi="Verdana" w:cs="Verdana"/>
                <w:sz w:val="24"/>
                <w:szCs w:val="24"/>
                <w:shd w:val="clear" w:color="auto" w:fill="E7E6E6"/>
              </w:rPr>
              <w:t xml:space="preserve">: </w:t>
            </w:r>
            <w:hyperlink r:id="rId22">
              <w:r>
                <w:rPr>
                  <w:rFonts w:ascii="Verdana" w:eastAsia="Verdana" w:hAnsi="Verdana" w:cs="Verdana"/>
                  <w:color w:val="1155CC"/>
                  <w:sz w:val="24"/>
                  <w:szCs w:val="24"/>
                  <w:u w:val="single"/>
                </w:rPr>
                <w:t>https://texreg.sos.state.tx.us/public/readtac$ext.TacPage?sl=R&amp;app=9&amp;p_dir=&amp;p_rloc=&amp;p_tloc=&amp;p_ploc=&amp;pg=1&amp;p_tac=&amp;ti=26&amp;pt=1&amp;ch=261&amp;rl=238</w:t>
              </w:r>
            </w:hyperlink>
          </w:p>
          <w:p w14:paraId="1380FA03" w14:textId="77777777" w:rsidR="006957D7" w:rsidRDefault="006957D7">
            <w:pPr>
              <w:shd w:val="clear" w:color="auto" w:fill="FFFFFF"/>
              <w:spacing w:after="0" w:line="276" w:lineRule="auto"/>
              <w:rPr>
                <w:rFonts w:ascii="Verdana" w:eastAsia="Verdana" w:hAnsi="Verdana" w:cs="Verdana"/>
                <w:sz w:val="24"/>
                <w:szCs w:val="24"/>
                <w:shd w:val="clear" w:color="auto" w:fill="E7E6E6"/>
              </w:rPr>
            </w:pPr>
          </w:p>
        </w:tc>
      </w:tr>
      <w:tr w:rsidR="006957D7" w14:paraId="1991E2B2" w14:textId="77777777">
        <w:trPr>
          <w:trHeight w:val="427"/>
        </w:trPr>
        <w:tc>
          <w:tcPr>
            <w:tcW w:w="9906" w:type="dxa"/>
            <w:gridSpan w:val="2"/>
            <w:tcBorders>
              <w:top w:val="single" w:sz="12" w:space="0" w:color="000000"/>
              <w:left w:val="single" w:sz="12" w:space="0" w:color="000000"/>
              <w:bottom w:val="single" w:sz="12" w:space="0" w:color="000000"/>
              <w:right w:val="single" w:sz="12" w:space="0" w:color="000000"/>
            </w:tcBorders>
            <w:tcMar>
              <w:top w:w="105" w:type="dxa"/>
              <w:left w:w="105" w:type="dxa"/>
              <w:bottom w:w="105" w:type="dxa"/>
              <w:right w:w="105" w:type="dxa"/>
            </w:tcMar>
          </w:tcPr>
          <w:p w14:paraId="7446631C" w14:textId="77777777" w:rsidR="006957D7" w:rsidRDefault="002D2218">
            <w:pPr>
              <w:spacing w:after="120" w:line="240" w:lineRule="auto"/>
              <w:rPr>
                <w:rFonts w:ascii="Verdana" w:eastAsia="Verdana" w:hAnsi="Verdana" w:cs="Verdana"/>
                <w:b/>
                <w:color w:val="000000"/>
                <w:sz w:val="24"/>
                <w:szCs w:val="24"/>
              </w:rPr>
            </w:pPr>
            <w:r>
              <w:rPr>
                <w:rFonts w:ascii="Verdana" w:eastAsia="Verdana" w:hAnsi="Verdana" w:cs="Verdana"/>
                <w:b/>
                <w:color w:val="000000"/>
                <w:sz w:val="24"/>
                <w:szCs w:val="24"/>
              </w:rPr>
              <w:t xml:space="preserve">Identify GCPD Issue Area(s) affected: </w:t>
            </w:r>
          </w:p>
          <w:p w14:paraId="4B55119F" w14:textId="77777777" w:rsidR="006957D7" w:rsidRDefault="002D2218">
            <w:pPr>
              <w:spacing w:after="0" w:line="360" w:lineRule="auto"/>
              <w:rPr>
                <w:b/>
                <w:shd w:val="clear" w:color="auto" w:fill="E7E6E6"/>
              </w:rPr>
            </w:pPr>
            <w:r>
              <w:rPr>
                <w:rFonts w:ascii="Verdana" w:eastAsia="Verdana" w:hAnsi="Verdana" w:cs="Verdana"/>
                <w:b/>
                <w:highlight w:val="yellow"/>
              </w:rPr>
              <w:t>Access</w:t>
            </w:r>
            <w:r>
              <w:rPr>
                <w:rFonts w:ascii="MS Gothic" w:eastAsia="MS Gothic" w:hAnsi="MS Gothic" w:cs="MS Gothic"/>
                <w:b/>
                <w:highlight w:val="yellow"/>
              </w:rPr>
              <w:t>☐</w:t>
            </w:r>
            <w:r>
              <w:rPr>
                <w:b/>
                <w:highlight w:val="white"/>
              </w:rPr>
              <w:t xml:space="preserve">   </w:t>
            </w:r>
            <w:r>
              <w:rPr>
                <w:rFonts w:ascii="Verdana" w:eastAsia="Verdana" w:hAnsi="Verdana" w:cs="Verdana"/>
                <w:b/>
                <w:highlight w:val="white"/>
              </w:rPr>
              <w:t>Communications</w:t>
            </w:r>
            <w:r>
              <w:rPr>
                <w:rFonts w:ascii="MS Gothic" w:eastAsia="MS Gothic" w:hAnsi="MS Gothic" w:cs="MS Gothic"/>
                <w:b/>
                <w:shd w:val="clear" w:color="auto" w:fill="E7E6E6"/>
              </w:rPr>
              <w:t>☐</w:t>
            </w:r>
            <w:r>
              <w:rPr>
                <w:b/>
                <w:highlight w:val="white"/>
              </w:rPr>
              <w:t xml:space="preserve">   </w:t>
            </w:r>
            <w:r>
              <w:rPr>
                <w:rFonts w:ascii="Verdana" w:eastAsia="Verdana" w:hAnsi="Verdana" w:cs="Verdana"/>
                <w:b/>
                <w:highlight w:val="white"/>
              </w:rPr>
              <w:t>Criminal Justice</w:t>
            </w:r>
            <w:r>
              <w:rPr>
                <w:rFonts w:ascii="MS Gothic" w:eastAsia="MS Gothic" w:hAnsi="MS Gothic" w:cs="MS Gothic"/>
                <w:b/>
                <w:shd w:val="clear" w:color="auto" w:fill="E7E6E6"/>
              </w:rPr>
              <w:t>☐</w:t>
            </w:r>
            <w:r>
              <w:rPr>
                <w:b/>
                <w:highlight w:val="white"/>
              </w:rPr>
              <w:t xml:space="preserve">   </w:t>
            </w:r>
            <w:r>
              <w:rPr>
                <w:rFonts w:ascii="Verdana" w:eastAsia="Verdana" w:hAnsi="Verdana" w:cs="Verdana"/>
                <w:b/>
                <w:highlight w:val="white"/>
              </w:rPr>
              <w:t>Education</w:t>
            </w:r>
            <w:r>
              <w:rPr>
                <w:rFonts w:ascii="MS Gothic" w:eastAsia="MS Gothic" w:hAnsi="MS Gothic" w:cs="MS Gothic"/>
                <w:b/>
                <w:shd w:val="clear" w:color="auto" w:fill="E7E6E6"/>
              </w:rPr>
              <w:t>☐</w:t>
            </w:r>
            <w:r>
              <w:rPr>
                <w:b/>
                <w:highlight w:val="white"/>
              </w:rPr>
              <w:t xml:space="preserve">   </w:t>
            </w:r>
            <w:r>
              <w:rPr>
                <w:rFonts w:ascii="Verdana" w:eastAsia="Verdana" w:hAnsi="Verdana" w:cs="Verdana"/>
                <w:b/>
                <w:highlight w:val="white"/>
              </w:rPr>
              <w:t>Emergency Management</w:t>
            </w:r>
            <w:r>
              <w:rPr>
                <w:rFonts w:ascii="MS Gothic" w:eastAsia="MS Gothic" w:hAnsi="MS Gothic" w:cs="MS Gothic"/>
                <w:b/>
                <w:shd w:val="clear" w:color="auto" w:fill="E7E6E6"/>
              </w:rPr>
              <w:t>☐</w:t>
            </w:r>
            <w:r>
              <w:rPr>
                <w:b/>
                <w:highlight w:val="white"/>
              </w:rPr>
              <w:t xml:space="preserve">   </w:t>
            </w:r>
            <w:r>
              <w:rPr>
                <w:rFonts w:ascii="Verdana" w:eastAsia="Verdana" w:hAnsi="Verdana" w:cs="Verdana"/>
                <w:b/>
                <w:highlight w:val="white"/>
              </w:rPr>
              <w:t>Employment</w:t>
            </w:r>
            <w:r>
              <w:rPr>
                <w:rFonts w:ascii="MS Gothic" w:eastAsia="MS Gothic" w:hAnsi="MS Gothic" w:cs="MS Gothic"/>
                <w:b/>
                <w:shd w:val="clear" w:color="auto" w:fill="E7E6E6"/>
              </w:rPr>
              <w:t>☐</w:t>
            </w:r>
            <w:r>
              <w:rPr>
                <w:b/>
                <w:highlight w:val="white"/>
              </w:rPr>
              <w:t xml:space="preserve">   </w:t>
            </w:r>
            <w:r>
              <w:rPr>
                <w:rFonts w:ascii="Verdana" w:eastAsia="Verdana" w:hAnsi="Verdana" w:cs="Verdana"/>
                <w:b/>
                <w:highlight w:val="yellow"/>
              </w:rPr>
              <w:t>Health</w:t>
            </w:r>
            <w:r>
              <w:rPr>
                <w:rFonts w:ascii="MS Gothic" w:eastAsia="MS Gothic" w:hAnsi="MS Gothic" w:cs="MS Gothic"/>
                <w:b/>
                <w:highlight w:val="yellow"/>
              </w:rPr>
              <w:t>☐</w:t>
            </w:r>
            <w:r>
              <w:rPr>
                <w:b/>
                <w:highlight w:val="yellow"/>
              </w:rPr>
              <w:t xml:space="preserve"> </w:t>
            </w:r>
            <w:r>
              <w:rPr>
                <w:b/>
                <w:highlight w:val="white"/>
              </w:rPr>
              <w:t xml:space="preserve">  </w:t>
            </w:r>
            <w:r>
              <w:rPr>
                <w:rFonts w:ascii="Verdana" w:eastAsia="Verdana" w:hAnsi="Verdana" w:cs="Verdana"/>
                <w:b/>
                <w:highlight w:val="white"/>
              </w:rPr>
              <w:t>Housing</w:t>
            </w:r>
            <w:r>
              <w:rPr>
                <w:rFonts w:ascii="MS Gothic" w:eastAsia="MS Gothic" w:hAnsi="MS Gothic" w:cs="MS Gothic"/>
                <w:b/>
                <w:shd w:val="clear" w:color="auto" w:fill="E7E6E6"/>
              </w:rPr>
              <w:t>☐</w:t>
            </w:r>
            <w:r>
              <w:rPr>
                <w:b/>
                <w:highlight w:val="white"/>
              </w:rPr>
              <w:t xml:space="preserve">   </w:t>
            </w:r>
            <w:r>
              <w:rPr>
                <w:rFonts w:ascii="Verdana" w:eastAsia="Verdana" w:hAnsi="Verdana" w:cs="Verdana"/>
                <w:b/>
                <w:highlight w:val="white"/>
              </w:rPr>
              <w:t>Transportation</w:t>
            </w:r>
            <w:r>
              <w:rPr>
                <w:rFonts w:ascii="MS Gothic" w:eastAsia="MS Gothic" w:hAnsi="MS Gothic" w:cs="MS Gothic"/>
                <w:b/>
                <w:shd w:val="clear" w:color="auto" w:fill="E7E6E6"/>
              </w:rPr>
              <w:t>☐</w:t>
            </w:r>
            <w:r>
              <w:rPr>
                <w:b/>
                <w:highlight w:val="white"/>
              </w:rPr>
              <w:t xml:space="preserve">   </w:t>
            </w:r>
            <w:r>
              <w:rPr>
                <w:rFonts w:ascii="Verdana" w:eastAsia="Verdana" w:hAnsi="Verdana" w:cs="Verdana"/>
                <w:b/>
                <w:highlight w:val="white"/>
              </w:rPr>
              <w:t>Veterans</w:t>
            </w:r>
            <w:r>
              <w:rPr>
                <w:b/>
                <w:highlight w:val="white"/>
              </w:rPr>
              <w:t xml:space="preserve"> </w:t>
            </w:r>
            <w:r>
              <w:rPr>
                <w:rFonts w:ascii="MS Gothic" w:eastAsia="MS Gothic" w:hAnsi="MS Gothic" w:cs="MS Gothic"/>
                <w:b/>
                <w:shd w:val="clear" w:color="auto" w:fill="E7E6E6"/>
              </w:rPr>
              <w:t>☐</w:t>
            </w:r>
          </w:p>
        </w:tc>
      </w:tr>
      <w:tr w:rsidR="006957D7" w14:paraId="0B769848" w14:textId="77777777">
        <w:trPr>
          <w:trHeight w:val="601"/>
        </w:trPr>
        <w:tc>
          <w:tcPr>
            <w:tcW w:w="9906" w:type="dxa"/>
            <w:gridSpan w:val="2"/>
            <w:tcBorders>
              <w:top w:val="single" w:sz="12" w:space="0" w:color="000000"/>
              <w:left w:val="single" w:sz="12" w:space="0" w:color="000000"/>
              <w:bottom w:val="single" w:sz="12" w:space="0" w:color="000000"/>
              <w:right w:val="single" w:sz="12" w:space="0" w:color="000000"/>
            </w:tcBorders>
            <w:tcMar>
              <w:top w:w="105" w:type="dxa"/>
              <w:left w:w="105" w:type="dxa"/>
              <w:bottom w:w="105" w:type="dxa"/>
              <w:right w:w="105" w:type="dxa"/>
            </w:tcMar>
          </w:tcPr>
          <w:p w14:paraId="0CB289A7" w14:textId="77777777" w:rsidR="006957D7" w:rsidRDefault="002D2218">
            <w:pPr>
              <w:spacing w:after="120" w:line="240" w:lineRule="auto"/>
              <w:rPr>
                <w:rFonts w:ascii="Verdana" w:eastAsia="Verdana" w:hAnsi="Verdana" w:cs="Verdana"/>
                <w:b/>
                <w:sz w:val="24"/>
                <w:szCs w:val="24"/>
              </w:rPr>
            </w:pPr>
            <w:r>
              <w:rPr>
                <w:rFonts w:ascii="Verdana" w:eastAsia="Verdana" w:hAnsi="Verdana" w:cs="Verdana"/>
                <w:b/>
                <w:color w:val="000000"/>
                <w:sz w:val="24"/>
                <w:szCs w:val="24"/>
              </w:rPr>
              <w:t>Contact:</w:t>
            </w:r>
          </w:p>
          <w:p w14:paraId="38578DFB" w14:textId="77777777" w:rsidR="006957D7" w:rsidRDefault="002D2218">
            <w:pPr>
              <w:spacing w:after="120" w:line="240" w:lineRule="auto"/>
              <w:rPr>
                <w:rFonts w:ascii="Verdana" w:eastAsia="Verdana" w:hAnsi="Verdana" w:cs="Verdana"/>
                <w:shd w:val="clear" w:color="auto" w:fill="E7E6E6"/>
              </w:rPr>
            </w:pPr>
            <w:r>
              <w:rPr>
                <w:rFonts w:ascii="Verdana" w:eastAsia="Verdana" w:hAnsi="Verdana" w:cs="Verdana"/>
                <w:shd w:val="clear" w:color="auto" w:fill="E7E6E6"/>
              </w:rPr>
              <w:t>Please include your name and the name of your organization.</w:t>
            </w:r>
          </w:p>
          <w:p w14:paraId="11EEA683" w14:textId="77777777" w:rsidR="006957D7" w:rsidRDefault="002D2218">
            <w:pPr>
              <w:spacing w:after="120" w:line="240" w:lineRule="auto"/>
              <w:rPr>
                <w:rFonts w:ascii="Verdana" w:eastAsia="Verdana" w:hAnsi="Verdana" w:cs="Verdana"/>
              </w:rPr>
            </w:pPr>
            <w:r>
              <w:rPr>
                <w:rFonts w:ascii="Verdana" w:eastAsia="Verdana" w:hAnsi="Verdana" w:cs="Verdana"/>
              </w:rPr>
              <w:t xml:space="preserve">Tim </w:t>
            </w:r>
            <w:proofErr w:type="spellStart"/>
            <w:r>
              <w:rPr>
                <w:rFonts w:ascii="Verdana" w:eastAsia="Verdana" w:hAnsi="Verdana" w:cs="Verdana"/>
              </w:rPr>
              <w:t>Joniec</w:t>
            </w:r>
            <w:proofErr w:type="spellEnd"/>
            <w:r>
              <w:rPr>
                <w:rFonts w:ascii="Verdana" w:eastAsia="Verdana" w:hAnsi="Verdana" w:cs="Verdana"/>
              </w:rPr>
              <w:t>, Director of Government and Stakeholder Relations at Houston Airport System and Prader-Willi Syndrome Advocate with the Texas Prader-Willi Association (TXPWA)</w:t>
            </w:r>
          </w:p>
        </w:tc>
      </w:tr>
      <w:tr w:rsidR="006957D7" w14:paraId="16F995BD" w14:textId="77777777">
        <w:trPr>
          <w:trHeight w:val="601"/>
        </w:trPr>
        <w:tc>
          <w:tcPr>
            <w:tcW w:w="9906" w:type="dxa"/>
            <w:gridSpan w:val="2"/>
            <w:tcBorders>
              <w:top w:val="single" w:sz="12" w:space="0" w:color="000000"/>
              <w:left w:val="single" w:sz="12" w:space="0" w:color="000000"/>
              <w:bottom w:val="single" w:sz="12" w:space="0" w:color="000000"/>
              <w:right w:val="single" w:sz="12" w:space="0" w:color="000000"/>
            </w:tcBorders>
            <w:tcMar>
              <w:top w:w="105" w:type="dxa"/>
              <w:left w:w="105" w:type="dxa"/>
              <w:bottom w:w="105" w:type="dxa"/>
              <w:right w:w="105" w:type="dxa"/>
            </w:tcMar>
          </w:tcPr>
          <w:p w14:paraId="5FBCA778" w14:textId="77777777" w:rsidR="006957D7" w:rsidRDefault="002D2218">
            <w:pPr>
              <w:spacing w:after="120" w:line="240" w:lineRule="auto"/>
              <w:rPr>
                <w:rFonts w:ascii="Verdana" w:eastAsia="Verdana" w:hAnsi="Verdana" w:cs="Verdana"/>
                <w:sz w:val="24"/>
                <w:szCs w:val="24"/>
              </w:rPr>
            </w:pPr>
            <w:r>
              <w:rPr>
                <w:rFonts w:ascii="Verdana" w:eastAsia="Verdana" w:hAnsi="Verdana" w:cs="Verdana"/>
                <w:b/>
                <w:sz w:val="24"/>
                <w:szCs w:val="24"/>
              </w:rPr>
              <w:t>If GCPD adopts this policy, do you commit to directly supporting this proposal through the legislative session?</w:t>
            </w:r>
            <w:r>
              <w:rPr>
                <w:rFonts w:ascii="Verdana" w:eastAsia="Verdana" w:hAnsi="Verdana" w:cs="Verdana"/>
                <w:sz w:val="24"/>
                <w:szCs w:val="24"/>
              </w:rPr>
              <w:t xml:space="preserve"> </w:t>
            </w:r>
          </w:p>
          <w:p w14:paraId="637191F7" w14:textId="77777777" w:rsidR="006957D7" w:rsidRDefault="002D2218">
            <w:pPr>
              <w:spacing w:after="120" w:line="240" w:lineRule="auto"/>
              <w:rPr>
                <w:rFonts w:ascii="Verdana" w:eastAsia="Verdana" w:hAnsi="Verdana" w:cs="Verdana"/>
                <w:b/>
                <w:sz w:val="24"/>
                <w:szCs w:val="24"/>
              </w:rPr>
            </w:pPr>
            <w:r>
              <w:rPr>
                <w:rFonts w:ascii="Verdana" w:eastAsia="Verdana" w:hAnsi="Verdana" w:cs="Verdana"/>
              </w:rPr>
              <w:lastRenderedPageBreak/>
              <w:t>Yes. We also commit to educating the PWS community post-policy enactment.</w:t>
            </w:r>
          </w:p>
        </w:tc>
      </w:tr>
      <w:tr w:rsidR="006957D7" w14:paraId="6FB2479D" w14:textId="77777777">
        <w:trPr>
          <w:trHeight w:val="936"/>
        </w:trPr>
        <w:tc>
          <w:tcPr>
            <w:tcW w:w="9906" w:type="dxa"/>
            <w:gridSpan w:val="2"/>
            <w:tcBorders>
              <w:top w:val="single" w:sz="12" w:space="0" w:color="000000"/>
              <w:left w:val="single" w:sz="12" w:space="0" w:color="000000"/>
              <w:bottom w:val="single" w:sz="12" w:space="0" w:color="000000"/>
              <w:right w:val="single" w:sz="12" w:space="0" w:color="000000"/>
            </w:tcBorders>
            <w:tcMar>
              <w:top w:w="105" w:type="dxa"/>
              <w:left w:w="105" w:type="dxa"/>
              <w:bottom w:w="105" w:type="dxa"/>
              <w:right w:w="105" w:type="dxa"/>
            </w:tcMar>
          </w:tcPr>
          <w:p w14:paraId="7FF22170" w14:textId="77777777" w:rsidR="006957D7" w:rsidRDefault="002D2218">
            <w:pPr>
              <w:spacing w:before="60" w:after="120" w:line="240" w:lineRule="auto"/>
              <w:rPr>
                <w:rFonts w:ascii="Verdana" w:eastAsia="Verdana" w:hAnsi="Verdana" w:cs="Verdana"/>
                <w:b/>
                <w:color w:val="000000"/>
                <w:sz w:val="24"/>
                <w:szCs w:val="24"/>
              </w:rPr>
            </w:pPr>
            <w:r>
              <w:rPr>
                <w:rFonts w:ascii="Verdana" w:eastAsia="Verdana" w:hAnsi="Verdana" w:cs="Verdana"/>
                <w:b/>
                <w:color w:val="000000"/>
                <w:sz w:val="24"/>
                <w:szCs w:val="24"/>
              </w:rPr>
              <w:lastRenderedPageBreak/>
              <w:t xml:space="preserve">Recommended for GCPD policy recommendations:   </w:t>
            </w:r>
            <w:proofErr w:type="gramStart"/>
            <w:r>
              <w:rPr>
                <w:rFonts w:ascii="Verdana" w:eastAsia="Verdana" w:hAnsi="Verdana" w:cs="Verdana"/>
                <w:b/>
                <w:color w:val="000000"/>
                <w:sz w:val="24"/>
                <w:szCs w:val="24"/>
              </w:rPr>
              <w:t>Yes  </w:t>
            </w:r>
            <w:r>
              <w:rPr>
                <w:rFonts w:ascii="MS Gothic" w:eastAsia="MS Gothic" w:hAnsi="MS Gothic" w:cs="MS Gothic"/>
                <w:b/>
                <w:color w:val="000000"/>
                <w:sz w:val="24"/>
                <w:szCs w:val="24"/>
                <w:shd w:val="clear" w:color="auto" w:fill="E7E6E6"/>
              </w:rPr>
              <w:t>☐</w:t>
            </w:r>
            <w:proofErr w:type="gramEnd"/>
            <w:r>
              <w:rPr>
                <w:rFonts w:ascii="Verdana" w:eastAsia="Verdana" w:hAnsi="Verdana" w:cs="Verdana"/>
                <w:b/>
                <w:color w:val="000000"/>
                <w:sz w:val="24"/>
                <w:szCs w:val="24"/>
              </w:rPr>
              <w:t xml:space="preserve">   No </w:t>
            </w:r>
            <w:r>
              <w:rPr>
                <w:rFonts w:ascii="MS Gothic" w:eastAsia="MS Gothic" w:hAnsi="MS Gothic" w:cs="MS Gothic"/>
                <w:b/>
                <w:color w:val="000000"/>
                <w:sz w:val="24"/>
                <w:szCs w:val="24"/>
                <w:shd w:val="clear" w:color="auto" w:fill="E7E6E6"/>
              </w:rPr>
              <w:t>☐</w:t>
            </w:r>
          </w:p>
          <w:p w14:paraId="06F9C538" w14:textId="77777777" w:rsidR="006957D7" w:rsidRDefault="002D2218">
            <w:pPr>
              <w:spacing w:before="60" w:after="60" w:line="240" w:lineRule="auto"/>
              <w:rPr>
                <w:rFonts w:ascii="Verdana" w:eastAsia="Verdana" w:hAnsi="Verdana" w:cs="Verdana"/>
                <w:color w:val="000000"/>
              </w:rPr>
            </w:pPr>
            <w:r>
              <w:rPr>
                <w:rFonts w:ascii="Verdana" w:eastAsia="Verdana" w:hAnsi="Verdana" w:cs="Verdana"/>
                <w:color w:val="000000"/>
              </w:rPr>
              <w:t xml:space="preserve">MOTION: </w:t>
            </w:r>
            <w:r>
              <w:rPr>
                <w:rFonts w:ascii="Verdana" w:eastAsia="Verdana" w:hAnsi="Verdana" w:cs="Verdana"/>
                <w:color w:val="000000"/>
                <w:shd w:val="clear" w:color="auto" w:fill="E7E6E6"/>
              </w:rPr>
              <w:t>GCPD staff use only</w:t>
            </w:r>
          </w:p>
          <w:p w14:paraId="370FAED1" w14:textId="77777777" w:rsidR="006957D7" w:rsidRDefault="006957D7">
            <w:pPr>
              <w:rPr>
                <w:rFonts w:ascii="Times New Roman" w:eastAsia="Times New Roman" w:hAnsi="Times New Roman" w:cs="Times New Roman"/>
              </w:rPr>
            </w:pPr>
          </w:p>
        </w:tc>
      </w:tr>
    </w:tbl>
    <w:p w14:paraId="25723B03" w14:textId="77777777" w:rsidR="006957D7" w:rsidRDefault="006957D7">
      <w:pPr>
        <w:spacing w:after="0" w:line="240" w:lineRule="auto"/>
        <w:rPr>
          <w:rFonts w:ascii="Verdana" w:eastAsia="Verdana" w:hAnsi="Verdana" w:cs="Verdana"/>
          <w:i/>
          <w:sz w:val="16"/>
          <w:szCs w:val="16"/>
        </w:rPr>
      </w:pPr>
    </w:p>
    <w:sectPr w:rsidR="006957D7">
      <w:footerReference w:type="default" r:id="rId23"/>
      <w:pgSz w:w="12240" w:h="15840"/>
      <w:pgMar w:top="864" w:right="1152" w:bottom="810" w:left="1152"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B2FCCA" w14:textId="77777777" w:rsidR="002D2218" w:rsidRDefault="002D2218">
      <w:pPr>
        <w:spacing w:after="0" w:line="240" w:lineRule="auto"/>
      </w:pPr>
      <w:r>
        <w:separator/>
      </w:r>
    </w:p>
  </w:endnote>
  <w:endnote w:type="continuationSeparator" w:id="0">
    <w:p w14:paraId="6849773D" w14:textId="77777777" w:rsidR="002D2218" w:rsidRDefault="002D22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0DCF47F6-805A-45E6-93A2-00E1DE2B6AA8}"/>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59437A65-9D92-4160-B5B8-3C33B0D0DD5E}"/>
    <w:embedBold r:id="rId3" w:fontKey="{49F566CA-587B-4C3F-B293-014EDBF170A4}"/>
  </w:font>
  <w:font w:name="Segoe UI">
    <w:panose1 w:val="020B0502040204020203"/>
    <w:charset w:val="00"/>
    <w:family w:val="roman"/>
    <w:notTrueType/>
    <w:pitch w:val="default"/>
    <w:embedRegular r:id="rId4" w:fontKey="{1821A7AB-1BAA-48C7-B669-5055527722BB}"/>
  </w:font>
  <w:font w:name="Georgia">
    <w:panose1 w:val="02040502050405020303"/>
    <w:charset w:val="00"/>
    <w:family w:val="auto"/>
    <w:pitch w:val="default"/>
    <w:embedRegular r:id="rId5" w:fontKey="{EF981DCE-70EB-4F2F-9F4D-EC753CAB1451}"/>
    <w:embedItalic r:id="rId6" w:fontKey="{DA4F0221-69C9-4483-867D-B0412DFB733C}"/>
  </w:font>
  <w:font w:name="Verdana">
    <w:panose1 w:val="020B0604030504040204"/>
    <w:charset w:val="00"/>
    <w:family w:val="swiss"/>
    <w:pitch w:val="variable"/>
    <w:sig w:usb0="A00006FF" w:usb1="4000205B" w:usb2="00000010" w:usb3="00000000" w:csb0="0000019F" w:csb1="00000000"/>
    <w:embedRegular r:id="rId7" w:fontKey="{2EAC1253-06EB-4582-83C1-3AAB13D68C8D}"/>
    <w:embedBold r:id="rId8" w:fontKey="{9F3A68BC-E324-43C7-BA24-9EBC262C8029}"/>
    <w:embedItalic r:id="rId9" w:fontKey="{26970C54-EDD9-4B00-9A47-10271009DE3F}"/>
    <w:embedBoldItalic r:id="rId10" w:fontKey="{3A5495FA-CC13-45A4-9884-A82998C9697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embedBold r:id="rId11" w:subsetted="1" w:fontKey="{E88B6A19-C5DD-467C-8BBE-9551627212C4}"/>
  </w:font>
  <w:font w:name="Calibri Light">
    <w:panose1 w:val="020F0302020204030204"/>
    <w:charset w:val="00"/>
    <w:family w:val="swiss"/>
    <w:pitch w:val="variable"/>
    <w:sig w:usb0="E4002EFF" w:usb1="C000247B" w:usb2="00000009" w:usb3="00000000" w:csb0="000001FF" w:csb1="00000000"/>
    <w:embedRegular r:id="rId12" w:fontKey="{215B4890-C0F3-4E06-83DF-B9A2FD0D22C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722234" w14:textId="77777777" w:rsidR="006957D7" w:rsidRDefault="002D2218">
    <w:pPr>
      <w:pBdr>
        <w:top w:val="nil"/>
        <w:left w:val="nil"/>
        <w:bottom w:val="nil"/>
        <w:right w:val="nil"/>
        <w:between w:val="nil"/>
      </w:pBdr>
      <w:tabs>
        <w:tab w:val="center" w:pos="4680"/>
        <w:tab w:val="right" w:pos="9360"/>
        <w:tab w:val="right" w:pos="9900"/>
      </w:tabs>
      <w:spacing w:after="0" w:line="240" w:lineRule="auto"/>
      <w:rPr>
        <w:rFonts w:ascii="Verdana" w:eastAsia="Verdana" w:hAnsi="Verdana" w:cs="Verdana"/>
        <w:color w:val="000000"/>
        <w:sz w:val="16"/>
        <w:szCs w:val="16"/>
      </w:rPr>
    </w:pPr>
    <w:r>
      <w:rPr>
        <w:rFonts w:ascii="Verdana" w:eastAsia="Verdana" w:hAnsi="Verdana" w:cs="Verdana"/>
        <w:i/>
        <w:color w:val="000000"/>
        <w:sz w:val="16"/>
        <w:szCs w:val="16"/>
      </w:rPr>
      <w:t>Form Revision Date: 08/28/23</w:t>
    </w:r>
    <w:r>
      <w:rPr>
        <w:rFonts w:ascii="Verdana" w:eastAsia="Verdana" w:hAnsi="Verdana" w:cs="Verdana"/>
        <w:color w:val="000000"/>
        <w:sz w:val="16"/>
        <w:szCs w:val="16"/>
      </w:rPr>
      <w:t xml:space="preserve"> </w:t>
    </w:r>
    <w:r>
      <w:rPr>
        <w:rFonts w:ascii="Verdana" w:eastAsia="Verdana" w:hAnsi="Verdana" w:cs="Verdana"/>
        <w:color w:val="000000"/>
        <w:sz w:val="16"/>
        <w:szCs w:val="16"/>
      </w:rPr>
      <w:tab/>
    </w:r>
    <w:r>
      <w:rPr>
        <w:rFonts w:ascii="Verdana" w:eastAsia="Verdana" w:hAnsi="Verdana" w:cs="Verdana"/>
        <w:color w:val="000000"/>
        <w:sz w:val="16"/>
        <w:szCs w:val="16"/>
      </w:rPr>
      <w:tab/>
      <w:t xml:space="preserve">Page </w:t>
    </w:r>
    <w:r>
      <w:rPr>
        <w:rFonts w:ascii="Verdana" w:eastAsia="Verdana" w:hAnsi="Verdana" w:cs="Verdana"/>
        <w:b/>
        <w:color w:val="000000"/>
        <w:sz w:val="16"/>
        <w:szCs w:val="16"/>
      </w:rPr>
      <w:fldChar w:fldCharType="begin"/>
    </w:r>
    <w:r>
      <w:rPr>
        <w:rFonts w:ascii="Verdana" w:eastAsia="Verdana" w:hAnsi="Verdana" w:cs="Verdana"/>
        <w:b/>
        <w:color w:val="000000"/>
        <w:sz w:val="16"/>
        <w:szCs w:val="16"/>
      </w:rPr>
      <w:instrText>PAGE</w:instrText>
    </w:r>
    <w:r>
      <w:rPr>
        <w:rFonts w:ascii="Verdana" w:eastAsia="Verdana" w:hAnsi="Verdana" w:cs="Verdana"/>
        <w:b/>
        <w:color w:val="000000"/>
        <w:sz w:val="16"/>
        <w:szCs w:val="16"/>
      </w:rPr>
      <w:fldChar w:fldCharType="separate"/>
    </w:r>
    <w:r>
      <w:rPr>
        <w:rFonts w:ascii="Verdana" w:eastAsia="Verdana" w:hAnsi="Verdana" w:cs="Verdana"/>
        <w:b/>
        <w:noProof/>
        <w:color w:val="000000"/>
        <w:sz w:val="16"/>
        <w:szCs w:val="16"/>
      </w:rPr>
      <w:t>1</w:t>
    </w:r>
    <w:r>
      <w:rPr>
        <w:rFonts w:ascii="Verdana" w:eastAsia="Verdana" w:hAnsi="Verdana" w:cs="Verdana"/>
        <w:b/>
        <w:color w:val="000000"/>
        <w:sz w:val="16"/>
        <w:szCs w:val="16"/>
      </w:rPr>
      <w:fldChar w:fldCharType="end"/>
    </w:r>
    <w:r>
      <w:rPr>
        <w:rFonts w:ascii="Verdana" w:eastAsia="Verdana" w:hAnsi="Verdana" w:cs="Verdana"/>
        <w:color w:val="000000"/>
        <w:sz w:val="16"/>
        <w:szCs w:val="16"/>
      </w:rPr>
      <w:t xml:space="preserve"> of </w:t>
    </w:r>
    <w:r>
      <w:rPr>
        <w:rFonts w:ascii="Verdana" w:eastAsia="Verdana" w:hAnsi="Verdana" w:cs="Verdana"/>
        <w:b/>
        <w:color w:val="000000"/>
        <w:sz w:val="16"/>
        <w:szCs w:val="16"/>
      </w:rPr>
      <w:fldChar w:fldCharType="begin"/>
    </w:r>
    <w:r>
      <w:rPr>
        <w:rFonts w:ascii="Verdana" w:eastAsia="Verdana" w:hAnsi="Verdana" w:cs="Verdana"/>
        <w:b/>
        <w:color w:val="000000"/>
        <w:sz w:val="16"/>
        <w:szCs w:val="16"/>
      </w:rPr>
      <w:instrText>NUMPAGES</w:instrText>
    </w:r>
    <w:r>
      <w:rPr>
        <w:rFonts w:ascii="Verdana" w:eastAsia="Verdana" w:hAnsi="Verdana" w:cs="Verdana"/>
        <w:b/>
        <w:color w:val="000000"/>
        <w:sz w:val="16"/>
        <w:szCs w:val="16"/>
      </w:rPr>
      <w:fldChar w:fldCharType="separate"/>
    </w:r>
    <w:r>
      <w:rPr>
        <w:rFonts w:ascii="Verdana" w:eastAsia="Verdana" w:hAnsi="Verdana" w:cs="Verdana"/>
        <w:b/>
        <w:noProof/>
        <w:color w:val="000000"/>
        <w:sz w:val="16"/>
        <w:szCs w:val="16"/>
      </w:rPr>
      <w:t>2</w:t>
    </w:r>
    <w:r>
      <w:rPr>
        <w:rFonts w:ascii="Verdana" w:eastAsia="Verdana" w:hAnsi="Verdana" w:cs="Verdana"/>
        <w:b/>
        <w:color w:val="000000"/>
        <w:sz w:val="16"/>
        <w:szCs w:val="16"/>
      </w:rPr>
      <w:fldChar w:fldCharType="end"/>
    </w:r>
  </w:p>
  <w:p w14:paraId="5596F30A" w14:textId="77777777" w:rsidR="006957D7" w:rsidRDefault="006957D7">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678150" w14:textId="77777777" w:rsidR="002D2218" w:rsidRDefault="002D2218">
      <w:pPr>
        <w:spacing w:after="0" w:line="240" w:lineRule="auto"/>
      </w:pPr>
      <w:r>
        <w:separator/>
      </w:r>
    </w:p>
  </w:footnote>
  <w:footnote w:type="continuationSeparator" w:id="0">
    <w:p w14:paraId="49CAF2F8" w14:textId="77777777" w:rsidR="002D2218" w:rsidRDefault="002D221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A414F6"/>
    <w:multiLevelType w:val="multilevel"/>
    <w:tmpl w:val="D1647E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2085703"/>
    <w:multiLevelType w:val="multilevel"/>
    <w:tmpl w:val="9B2454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4727411"/>
    <w:multiLevelType w:val="multilevel"/>
    <w:tmpl w:val="19E84C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3593764E"/>
    <w:multiLevelType w:val="multilevel"/>
    <w:tmpl w:val="CB98FE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3F166042"/>
    <w:multiLevelType w:val="multilevel"/>
    <w:tmpl w:val="27401F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43141439"/>
    <w:multiLevelType w:val="multilevel"/>
    <w:tmpl w:val="133E9C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76980156"/>
    <w:multiLevelType w:val="multilevel"/>
    <w:tmpl w:val="EA54585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77775D97"/>
    <w:multiLevelType w:val="multilevel"/>
    <w:tmpl w:val="60B0B4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7B122722"/>
    <w:multiLevelType w:val="multilevel"/>
    <w:tmpl w:val="182A4C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7C150453"/>
    <w:multiLevelType w:val="multilevel"/>
    <w:tmpl w:val="1EDE96D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2055495847">
    <w:abstractNumId w:val="8"/>
  </w:num>
  <w:num w:numId="2" w16cid:durableId="192378947">
    <w:abstractNumId w:val="2"/>
  </w:num>
  <w:num w:numId="3" w16cid:durableId="1918637502">
    <w:abstractNumId w:val="7"/>
  </w:num>
  <w:num w:numId="4" w16cid:durableId="1804730864">
    <w:abstractNumId w:val="0"/>
  </w:num>
  <w:num w:numId="5" w16cid:durableId="2109961488">
    <w:abstractNumId w:val="5"/>
  </w:num>
  <w:num w:numId="6" w16cid:durableId="112022361">
    <w:abstractNumId w:val="6"/>
  </w:num>
  <w:num w:numId="7" w16cid:durableId="233899268">
    <w:abstractNumId w:val="9"/>
  </w:num>
  <w:num w:numId="8" w16cid:durableId="1552039726">
    <w:abstractNumId w:val="3"/>
  </w:num>
  <w:num w:numId="9" w16cid:durableId="961498706">
    <w:abstractNumId w:val="1"/>
  </w:num>
  <w:num w:numId="10" w16cid:durableId="54876307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57D7"/>
    <w:rsid w:val="002D2218"/>
    <w:rsid w:val="006957D7"/>
    <w:rsid w:val="00B2354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F444CD"/>
  <w15:docId w15:val="{4ABF4A1B-E54F-470D-98E8-DE5F520477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061587"/>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link w:val="Heading2Char"/>
    <w:uiPriority w:val="9"/>
    <w:semiHidden/>
    <w:unhideWhenUsed/>
    <w:qFormat/>
    <w:rsid w:val="00061587"/>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basedOn w:val="DefaultParagraphFont"/>
    <w:link w:val="Heading1"/>
    <w:uiPriority w:val="9"/>
    <w:rsid w:val="00061587"/>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061587"/>
    <w:rPr>
      <w:rFonts w:ascii="Times New Roman" w:eastAsia="Times New Roman" w:hAnsi="Times New Roman" w:cs="Times New Roman"/>
      <w:b/>
      <w:bCs/>
      <w:sz w:val="36"/>
      <w:szCs w:val="36"/>
    </w:rPr>
  </w:style>
  <w:style w:type="paragraph" w:styleId="NormalWeb">
    <w:name w:val="Normal (Web)"/>
    <w:basedOn w:val="Normal"/>
    <w:uiPriority w:val="99"/>
    <w:semiHidden/>
    <w:unhideWhenUsed/>
    <w:rsid w:val="0006158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061587"/>
    <w:rPr>
      <w:color w:val="0000FF"/>
      <w:u w:val="single"/>
    </w:rPr>
  </w:style>
  <w:style w:type="paragraph" w:styleId="ListParagraph">
    <w:name w:val="List Paragraph"/>
    <w:basedOn w:val="Normal"/>
    <w:uiPriority w:val="34"/>
    <w:qFormat/>
    <w:rsid w:val="00A87C4E"/>
    <w:pPr>
      <w:ind w:left="720"/>
      <w:contextualSpacing/>
    </w:pPr>
  </w:style>
  <w:style w:type="paragraph" w:customStyle="1" w:styleId="Default">
    <w:name w:val="Default"/>
    <w:rsid w:val="00C3673B"/>
    <w:pPr>
      <w:autoSpaceDE w:val="0"/>
      <w:autoSpaceDN w:val="0"/>
      <w:adjustRightInd w:val="0"/>
      <w:spacing w:after="0" w:line="240" w:lineRule="auto"/>
    </w:pPr>
    <w:rPr>
      <w:rFonts w:ascii="Times New Roman" w:hAnsi="Times New Roman" w:cs="Times New Roman"/>
      <w:color w:val="000000"/>
      <w:sz w:val="24"/>
      <w:szCs w:val="24"/>
    </w:rPr>
  </w:style>
  <w:style w:type="paragraph" w:styleId="Header">
    <w:name w:val="header"/>
    <w:basedOn w:val="Normal"/>
    <w:link w:val="HeaderChar"/>
    <w:uiPriority w:val="99"/>
    <w:unhideWhenUsed/>
    <w:rsid w:val="003B3D52"/>
    <w:pPr>
      <w:tabs>
        <w:tab w:val="center" w:pos="4680"/>
        <w:tab w:val="right" w:pos="9360"/>
      </w:tabs>
      <w:spacing w:after="0" w:line="240" w:lineRule="auto"/>
    </w:pPr>
  </w:style>
  <w:style w:type="character" w:customStyle="1" w:styleId="HeaderChar">
    <w:name w:val="Header Char"/>
    <w:basedOn w:val="DefaultParagraphFont"/>
    <w:link w:val="Header"/>
    <w:uiPriority w:val="99"/>
    <w:rsid w:val="003B3D52"/>
  </w:style>
  <w:style w:type="paragraph" w:styleId="Footer">
    <w:name w:val="footer"/>
    <w:basedOn w:val="Normal"/>
    <w:link w:val="FooterChar"/>
    <w:uiPriority w:val="99"/>
    <w:unhideWhenUsed/>
    <w:rsid w:val="003B3D52"/>
    <w:pPr>
      <w:tabs>
        <w:tab w:val="center" w:pos="4680"/>
        <w:tab w:val="right" w:pos="9360"/>
      </w:tabs>
      <w:spacing w:after="0" w:line="240" w:lineRule="auto"/>
    </w:pPr>
  </w:style>
  <w:style w:type="character" w:customStyle="1" w:styleId="FooterChar">
    <w:name w:val="Footer Char"/>
    <w:basedOn w:val="DefaultParagraphFont"/>
    <w:link w:val="Footer"/>
    <w:uiPriority w:val="99"/>
    <w:rsid w:val="003B3D52"/>
  </w:style>
  <w:style w:type="character" w:styleId="PlaceholderText">
    <w:name w:val="Placeholder Text"/>
    <w:basedOn w:val="DefaultParagraphFont"/>
    <w:uiPriority w:val="99"/>
    <w:semiHidden/>
    <w:rsid w:val="00E94FBC"/>
    <w:rPr>
      <w:color w:val="808080"/>
    </w:rPr>
  </w:style>
  <w:style w:type="character" w:styleId="CommentReference">
    <w:name w:val="annotation reference"/>
    <w:basedOn w:val="DefaultParagraphFont"/>
    <w:uiPriority w:val="99"/>
    <w:semiHidden/>
    <w:unhideWhenUsed/>
    <w:rsid w:val="00966488"/>
    <w:rPr>
      <w:sz w:val="16"/>
      <w:szCs w:val="16"/>
    </w:rPr>
  </w:style>
  <w:style w:type="paragraph" w:styleId="CommentText">
    <w:name w:val="annotation text"/>
    <w:basedOn w:val="Normal"/>
    <w:link w:val="CommentTextChar"/>
    <w:uiPriority w:val="99"/>
    <w:semiHidden/>
    <w:unhideWhenUsed/>
    <w:rsid w:val="00966488"/>
    <w:pPr>
      <w:spacing w:line="240" w:lineRule="auto"/>
    </w:pPr>
    <w:rPr>
      <w:sz w:val="20"/>
      <w:szCs w:val="20"/>
    </w:rPr>
  </w:style>
  <w:style w:type="character" w:customStyle="1" w:styleId="CommentTextChar">
    <w:name w:val="Comment Text Char"/>
    <w:basedOn w:val="DefaultParagraphFont"/>
    <w:link w:val="CommentText"/>
    <w:uiPriority w:val="99"/>
    <w:semiHidden/>
    <w:rsid w:val="00966488"/>
    <w:rPr>
      <w:sz w:val="20"/>
      <w:szCs w:val="20"/>
    </w:rPr>
  </w:style>
  <w:style w:type="paragraph" w:styleId="CommentSubject">
    <w:name w:val="annotation subject"/>
    <w:basedOn w:val="CommentText"/>
    <w:next w:val="CommentText"/>
    <w:link w:val="CommentSubjectChar"/>
    <w:uiPriority w:val="99"/>
    <w:semiHidden/>
    <w:unhideWhenUsed/>
    <w:rsid w:val="00966488"/>
    <w:rPr>
      <w:b/>
      <w:bCs/>
    </w:rPr>
  </w:style>
  <w:style w:type="character" w:customStyle="1" w:styleId="CommentSubjectChar">
    <w:name w:val="Comment Subject Char"/>
    <w:basedOn w:val="CommentTextChar"/>
    <w:link w:val="CommentSubject"/>
    <w:uiPriority w:val="99"/>
    <w:semiHidden/>
    <w:rsid w:val="00966488"/>
    <w:rPr>
      <w:b/>
      <w:bCs/>
      <w:sz w:val="20"/>
      <w:szCs w:val="20"/>
    </w:rPr>
  </w:style>
  <w:style w:type="paragraph" w:styleId="BalloonText">
    <w:name w:val="Balloon Text"/>
    <w:basedOn w:val="Normal"/>
    <w:link w:val="BalloonTextChar"/>
    <w:uiPriority w:val="99"/>
    <w:semiHidden/>
    <w:unhideWhenUsed/>
    <w:rsid w:val="0096648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66488"/>
    <w:rPr>
      <w:rFonts w:ascii="Segoe UI" w:hAnsi="Segoe UI" w:cs="Segoe UI"/>
      <w:sz w:val="18"/>
      <w:szCs w:val="18"/>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5" w:type="dxa"/>
        <w:left w:w="15" w:type="dxa"/>
        <w:bottom w:w="15" w:type="dxa"/>
        <w:right w:w="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s://drive.google.com/file/d/1BI5S1x0MPDmxLiBVm9ZCJ0sakheuYJF7/view" TargetMode="External"/><Relationship Id="rId18" Type="http://schemas.openxmlformats.org/officeDocument/2006/relationships/hyperlink" Target="https://www.revisor.mn.gov/bills/text.php?number=SF5335&amp;version=latest&amp;session=ls93&amp;session_year=2024&amp;session_number=0" TargetMode="External"/><Relationship Id="rId3" Type="http://schemas.openxmlformats.org/officeDocument/2006/relationships/styles" Target="styles.xml"/><Relationship Id="rId21" Type="http://schemas.openxmlformats.org/officeDocument/2006/relationships/hyperlink" Target="https://texreg.sos.state.tx.us/public/readtac$ext.TacPage?sl=T&amp;app=9&amp;p_dir=F&amp;p_rloc=213902&amp;p_tloc=19603&amp;p_ploc=9697&amp;pg=5&amp;p_tac=&amp;ti=26&amp;pt=1&amp;ch=565&amp;rl=3" TargetMode="External"/><Relationship Id="rId7" Type="http://schemas.openxmlformats.org/officeDocument/2006/relationships/endnotes" Target="endnotes.xml"/><Relationship Id="rId12" Type="http://schemas.openxmlformats.org/officeDocument/2006/relationships/hyperlink" Target="https://www.nysenate.gov/legislation/bills/2017/S1219" TargetMode="External"/><Relationship Id="rId17" Type="http://schemas.openxmlformats.org/officeDocument/2006/relationships/hyperlink" Target="https://www.cga.ct.gov/asp/cgabillstatus/cgabillstatus.asp?selBillType=Bill&amp;bill_num=HB05293&amp;which_year=2024"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leg.colorado.gov/bills/hb23-1040" TargetMode="External"/><Relationship Id="rId20" Type="http://schemas.openxmlformats.org/officeDocument/2006/relationships/hyperlink" Target="https://www.hhs.texas.gov/sites/default/files/documents/doing-business-with-hhs/providers/health/icd10-codes.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leg.state.fl.us/statutes/index.cfm?App_mode=Display_Statute&amp;Search_String=&amp;URL=0300-0399/0393/Sections/0393.063.html"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azleg.gov/legtext/56leg/1R/summary/S.1421HHS-APPROP.DOCX.htm" TargetMode="External"/><Relationship Id="rId23" Type="http://schemas.openxmlformats.org/officeDocument/2006/relationships/footer" Target="footer1.xml"/><Relationship Id="rId10" Type="http://schemas.openxmlformats.org/officeDocument/2006/relationships/hyperlink" Target="https://capitol.texas.gov/tlodocs/83R/billtext/html/SB00007S.htm" TargetMode="External"/><Relationship Id="rId19" Type="http://schemas.openxmlformats.org/officeDocument/2006/relationships/hyperlink" Target="https://capitol.texas.gov/tlodocs/83R/billtext/html/SB00007S.htm" TargetMode="External"/><Relationship Id="rId4" Type="http://schemas.openxmlformats.org/officeDocument/2006/relationships/settings" Target="settings.xml"/><Relationship Id="rId9" Type="http://schemas.openxmlformats.org/officeDocument/2006/relationships/hyperlink" Target="https://www.hhs.texas.gov/sites/default/files/documents/doing-business-with-hhs/providers/health/icd10-codes.pdf" TargetMode="External"/><Relationship Id="rId14" Type="http://schemas.openxmlformats.org/officeDocument/2006/relationships/hyperlink" Target="https://apps.azleg.gov/BillStatus/BillOverview/79081" TargetMode="External"/><Relationship Id="rId22" Type="http://schemas.openxmlformats.org/officeDocument/2006/relationships/hyperlink" Target="https://texreg.sos.state.tx.us/public/readtac$ext.TacPage?sl=R&amp;app=9&amp;p_dir=&amp;p_rloc=&amp;p_tloc=&amp;p_ploc=&amp;pg=1&amp;p_tac=&amp;ti=26&amp;pt=1&amp;ch=261&amp;rl=238"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iidh0+RIfaZPcpNAawdaIuvJffg==">CgMxLjA4AHIhMTB5R2NsX0lwbmZtcGJBdWJEMVBGeGxtS2xvQXdkcUcy</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1907</Words>
  <Characters>10876</Characters>
  <Application>Microsoft Office Word</Application>
  <DocSecurity>4</DocSecurity>
  <Lines>90</Lines>
  <Paragraphs>25</Paragraphs>
  <ScaleCrop>false</ScaleCrop>
  <Company/>
  <LinksUpToDate>false</LinksUpToDate>
  <CharactersWithSpaces>12758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Fran Robertson</dc:creator>
  <cp:lastModifiedBy>Rebecca Lopez</cp:lastModifiedBy>
  <cp:revision>2</cp:revision>
  <dcterms:created xsi:type="dcterms:W3CDTF">2025-01-21T19:34:00Z</dcterms:created>
  <dcterms:modified xsi:type="dcterms:W3CDTF">2025-01-21T19:34:00Z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2140281396</vt:i4>
  </property>
</Properties>
</file>